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HG 1997 (Brandenburg) — Inkrafttreten</w:t>
      </w:r>
    </w:p>
    <w:p>
      <w:r>
        <w:rPr>
          <w:color w:val="555555"/>
          <w:sz w:val="18"/>
        </w:rPr>
        <w:t xml:space="preserve">Haushaltsgesetz 1997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Dieses Gesetz tritt mit Wirkung vom 1. Januar 1997 in Kraft.</w:t>
      </w:r>
    </w:p>
    <w:p>
      <w:r>
        <w:t xml:space="preserve">Potsdam, den 18. Dezember 1996</w:t>
      </w:r>
    </w:p>
    <w:p>
      <w:r>
        <w:t xml:space="preserve">Der Präsident des Landtages Brandenburg</w:t>
      </w:r>
    </w:p>
    <w:p>
      <w:r>
        <w:t xml:space="preserve">Dr. Herbert Knoblich</w:t>
      </w:r>
    </w:p>
    <w:p>
      <w:r>
        <w:rPr>
          <w:color w:val="555555"/>
          <w:sz w:val="17"/>
        </w:rPr>
        <w:t xml:space="preserve">Zitiervorschlag: § 23 HG 1997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https://recht.nulegal.eu/gesetze/HG%201997/23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