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HG 1997 (Brandenburg) — Weitergeltung von Vorschriften und Ermächtigungen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 Ermächtigungen in §§ 3, 4,</w:t>
      </w:r>
    </w:p>
    <w:p>
      <w:r>
        <w:t xml:space="preserve">5, 7 Abs. 1 und 2, §§ 12, 14, 18, 19 und 21 gelten bis zur</w:t>
      </w:r>
    </w:p>
    <w:p>
      <w:r>
        <w:t xml:space="preserve">Verkündung des Haushaltsgesetzes 1998 weiter.</w:t>
      </w:r>
    </w:p>
    <w:p>
      <w:r>
        <w:rPr>
          <w:color w:val="555555"/>
          <w:sz w:val="17"/>
        </w:rPr>
        <w:t xml:space="preserve">Zitiervorschlag: § 22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