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HG 1997 (Brandenburg) — Haushaltswirtschaftliche Beschränkungen bei Mitfinanzierungen durch Dritte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über Ausgaben für Maßnahmen, an denen sich</w:t>
      </w:r>
    </w:p>
    <w:p>
      <w:r>
        <w:t xml:space="preserve">Dritte (einschließlich der Europäischen Gemeinschaften, des Bundes</w:t>
      </w:r>
    </w:p>
    <w:p>
      <w:r>
        <w:t xml:space="preserve">und der Länder) beteiligen, darf nur verfügt werden, wenn der Eingang</w:t>
      </w:r>
    </w:p>
    <w:p>
      <w:r>
        <w:t xml:space="preserve">der Einnahmen für das Land Brandenburg rechtlich oder tatsächlich</w:t>
      </w:r>
    </w:p>
    <w:p>
      <w:r>
        <w:t xml:space="preserve">gesichert ist. Sobald sicher ist, daß veranschlagte Drittmittel nicht</w:t>
      </w:r>
    </w:p>
    <w:p>
      <w:r>
        <w:t xml:space="preserve">eingenommen werden, dürfen die entsprechenden Landesmittel nicht</w:t>
      </w:r>
    </w:p>
    <w:p>
      <w:r>
        <w:t xml:space="preserve">verausgabt werden. Entsprechendes gilt für Landeskomplementärmittel,</w:t>
      </w:r>
    </w:p>
    <w:p>
      <w:r>
        <w:t xml:space="preserve">die infolge nachträglicher Änderungen beim Umfang der erwarteten</w:t>
      </w:r>
    </w:p>
    <w:p>
      <w:r>
        <w:t xml:space="preserve">Drittmittel zu hoch veranschlagt worden sind.</w:t>
      </w:r>
    </w:p>
    <w:p>
      <w:r>
        <w:t xml:space="preserve">(2) Die Ministerin der Finanzen berichtet dem Ausschuß</w:t>
      </w:r>
    </w:p>
    <w:p>
      <w:r>
        <w:t xml:space="preserve">für Haushalt und Finanzen des Landtages zum 30. September 1997 über</w:t>
      </w:r>
    </w:p>
    <w:p>
      <w:r>
        <w:t xml:space="preserve">den aktuellen Mittelabfluß für Maßnahmen nach Absatz 1 Satz 1.</w:t>
      </w:r>
    </w:p>
    <w:p>
      <w:r>
        <w:rPr>
          <w:color w:val="555555"/>
          <w:sz w:val="17"/>
        </w:rPr>
        <w:t xml:space="preserve">Zitiervorschlag: § 13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