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HG 1997 (Brandenburg) — Sonderfinanzierungen</w:t>
      </w:r>
    </w:p>
    <w:p>
      <w:r>
        <w:rPr>
          <w:color w:val="555555"/>
          <w:sz w:val="18"/>
        </w:rPr>
        <w:t xml:space="preserve">Haushaltsgesetz 1997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Durch den Abschluß von Leasing-, Mietkauf- und</w:t>
      </w:r>
    </w:p>
    <w:p>
      <w:r>
        <w:t xml:space="preserve">ähnlichen Verträgen (Sonderfinanzierungen) für Bauinvestitionen</w:t>
      </w:r>
    </w:p>
    <w:p>
      <w:r>
        <w:t xml:space="preserve">dürfen Verpflichtungen zu Lasten künftiger Haushaltsjahre eingegangen</w:t>
      </w:r>
    </w:p>
    <w:p>
      <w:r>
        <w:t xml:space="preserve">werden. Die Ministerin der Finanzen wird ermächtigt, mit Zustimmung des</w:t>
      </w:r>
    </w:p>
    <w:p>
      <w:r>
        <w:t xml:space="preserve">Ausschusses für Haushalt und Finanzen des Landtages Sonderfinanzierungen</w:t>
      </w:r>
    </w:p>
    <w:p>
      <w:r>
        <w:t xml:space="preserve">zuzulassen; § 38 Abs. 1 der Landeshaushaltsordnung bleibt unberührt.</w:t>
      </w:r>
    </w:p>
    <w:p>
      <w:r>
        <w:t xml:space="preserve">Die aus Sonderfinanzierungen entstehenden Verpflichtungen des Landes</w:t>
      </w:r>
    </w:p>
    <w:p>
      <w:r>
        <w:t xml:space="preserve">dürfen das vertretbare Maß für die Belastung künftiger</w:t>
      </w:r>
    </w:p>
    <w:p>
      <w:r>
        <w:t xml:space="preserve">Haushaltsjahre nicht überschreiten.</w:t>
      </w:r>
    </w:p>
    <w:p>
      <w:r>
        <w:t xml:space="preserve">(2) Verpflichtungsermächtigungen für</w:t>
      </w:r>
    </w:p>
    <w:p>
      <w:r>
        <w:t xml:space="preserve">Investitionsfinanzierungen dürfen bis zu der Höhe überschritten</w:t>
      </w:r>
    </w:p>
    <w:p>
      <w:r>
        <w:t xml:space="preserve">werden, in der sie für Maßnahmen nach Absatz 1 Satz 1 benötigt</w:t>
      </w:r>
    </w:p>
    <w:p>
      <w:r>
        <w:t xml:space="preserve">werden.</w:t>
      </w:r>
    </w:p>
    <w:p>
      <w:r>
        <w:t xml:space="preserve">(3) Die Wirtschaftlichkeit von Sonderfinanzierungen ist in</w:t>
      </w:r>
    </w:p>
    <w:p>
      <w:r>
        <w:t xml:space="preserve">jedem Einzelfall zu belegen.</w:t>
      </w:r>
    </w:p>
    <w:p>
      <w:r>
        <w:rPr>
          <w:color w:val="555555"/>
          <w:sz w:val="17"/>
        </w:rPr>
        <w:t xml:space="preserve">Zitiervorschlag: § 10 HG 1997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https://recht.nulegal.eu/gesetze/HG%201997/10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