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HG 1997 (Brandenburg) — Feststellung des Haushaltsplanes</w:t>
      </w:r>
    </w:p>
    <w:p>
      <w:r>
        <w:rPr>
          <w:color w:val="555555"/>
          <w:sz w:val="18"/>
        </w:rPr>
        <w:t xml:space="preserve">Haushaltsgesetz 1997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diesem Gesetz als Anlage beigefügte Haushaltsplan des</w:t>
      </w:r>
    </w:p>
    <w:p>
      <w:r>
        <w:t xml:space="preserve">Landes Brandenburg wird in Einnahmen und Ausgaben auf 19 612 780 300 Deutsche</w:t>
      </w:r>
    </w:p>
    <w:p>
      <w:r>
        <w:t xml:space="preserve">Mark festgestellt. Der Gesamtbetrag der Verpflichtungsermächtigungen</w:t>
      </w:r>
    </w:p>
    <w:p>
      <w:r>
        <w:t xml:space="preserve">beläuft sich auf 5 797 232 400 Deutsche Mark.</w:t>
      </w:r>
    </w:p>
    <w:p>
      <w:r>
        <w:rPr>
          <w:color w:val="555555"/>
          <w:sz w:val="17"/>
        </w:rPr>
        <w:t xml:space="preserve">Zitiervorschlag: § 1 HG 1997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https://recht.nulegal.eu/gesetze/HG%201997/1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