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HG 1996 (Brandenburg) — Weitergeltung von Vorschriften und Ermächtigungen</w:t>
      </w:r>
    </w:p>
    <w:p>
      <w:r>
        <w:rPr>
          <w:color w:val="555555"/>
          <w:sz w:val="18"/>
        </w:rPr>
        <w:t xml:space="preserve">Haushaltsgesetz 1996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Vorschriften und Ermächtigungen in den §§</w:t>
      </w:r>
    </w:p>
    <w:p>
      <w:r>
        <w:t xml:space="preserve">3, 4, 7 Abs. 1, §§ 9, 11, 15, 16 und 18 gelten bis zur</w:t>
      </w:r>
    </w:p>
    <w:p>
      <w:r>
        <w:t xml:space="preserve">Verkündung des Haushaltsgesetzes 1997 weiter.</w:t>
      </w:r>
    </w:p>
    <w:p>
      <w:r>
        <w:rPr>
          <w:color w:val="555555"/>
          <w:sz w:val="17"/>
        </w:rPr>
        <w:t xml:space="preserve">Zitiervorschlag: § 19 HG 1996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https://recht.nulegal.eu/gesetze/HG%201996/19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