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18 HG 1996 (Brandenburg) — Übergangsregelung zur Funktionalreform</w:t>
      </w:r>
    </w:p>
    <w:p>
      <w:r>
        <w:rPr>
          <w:color w:val="555555"/>
          <w:sz w:val="18"/>
        </w:rPr>
        <w:t xml:space="preserve">Haushaltsgesetz 1996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Soweit im Laufe des Jahres 1996 Aufgaben insbesondere im</w:t>
      </w:r>
    </w:p>
    <w:p>
      <w:r>
        <w:t xml:space="preserve">Zuge der Funktionalreform übertragen werden und nach dem</w:t>
      </w:r>
    </w:p>
    <w:p>
      <w:r>
        <w:t xml:space="preserve">Gemeindefinanzierungsgesetz keine Mittel bereitgestellt sind, soll die</w:t>
      </w:r>
    </w:p>
    <w:p>
      <w:r>
        <w:t xml:space="preserve">Ministerin der Finanzen zulassen, daß die Erstattung an die kommunalen</w:t>
      </w:r>
    </w:p>
    <w:p>
      <w:r>
        <w:t xml:space="preserve">Gebietskörperschaften aus den betreffenden Titeln für Personal- und</w:t>
      </w:r>
    </w:p>
    <w:p>
      <w:r>
        <w:t xml:space="preserve">Sachausgaben der jeweiligen Einzelpläne geleistet werden. Für die</w:t>
      </w:r>
    </w:p>
    <w:p>
      <w:r>
        <w:t xml:space="preserve">Höhe der Erstattung der Personalausgaben bilden die Anzahl und Wertigkeit</w:t>
      </w:r>
    </w:p>
    <w:p>
      <w:r>
        <w:t xml:space="preserve">der durch die Überleitung der Aufgaben betroffenen Planstellen und Stellen</w:t>
      </w:r>
    </w:p>
    <w:p>
      <w:r>
        <w:t xml:space="preserve">die Obergrenze.</w:t>
      </w:r>
    </w:p>
    <w:p>
      <w:r>
        <w:t xml:space="preserve">(2) Für die von der Funktionalreform betroffenen</w:t>
      </w:r>
    </w:p>
    <w:p>
      <w:r>
        <w:t xml:space="preserve">Bediensteten in bestehenden Beschäftigungsverhältnissen, die von den</w:t>
      </w:r>
    </w:p>
    <w:p>
      <w:r>
        <w:t xml:space="preserve">kommunalen Gebietskörperschaften nicht übernommen werden oder gegen</w:t>
      </w:r>
    </w:p>
    <w:p>
      <w:r>
        <w:t xml:space="preserve">die Überleitung Rechtsbehelfe oder Rechtsmittel eingelegt haben, ist eine</w:t>
      </w:r>
    </w:p>
    <w:p>
      <w:r>
        <w:t xml:space="preserve">besetzbare Planstelle oder Stelle der entsprechenden Wertigkeit innerhalb des</w:t>
      </w:r>
    </w:p>
    <w:p>
      <w:r>
        <w:t xml:space="preserve">jeweiligen Einzelplanes zur Verfügung zu stellen. Steht eine solche</w:t>
      </w:r>
    </w:p>
    <w:p>
      <w:r>
        <w:t xml:space="preserve">Planstelle oder Stelle nicht zur Verfügung, wird die Landesregierung</w:t>
      </w:r>
    </w:p>
    <w:p>
      <w:r>
        <w:t xml:space="preserve">ermächtigt, die betroffenen Beschäftigten vorübergehend solange</w:t>
      </w:r>
    </w:p>
    <w:p>
      <w:r>
        <w:t xml:space="preserve">neben den Stellenplänen zu führen, bis die nächste besetzbare</w:t>
      </w:r>
    </w:p>
    <w:p>
      <w:r>
        <w:t xml:space="preserve">Planstelle oder Stelle zur Verfügung steht. Dies gilt abweichend von</w:t>
      </w:r>
    </w:p>
    <w:p>
      <w:r>
        <w:t xml:space="preserve">§ 12 Abs. 1 des Haushaltsgesetzes und § 49 der</w:t>
      </w:r>
    </w:p>
    <w:p>
      <w:r>
        <w:t xml:space="preserve">Landeshaushaltsordnung. Satz 2 gilt entsprechend für von der</w:t>
      </w:r>
    </w:p>
    <w:p>
      <w:r>
        <w:t xml:space="preserve">Funktionalreform betroffene Bedienstete in bestehenden</w:t>
      </w:r>
    </w:p>
    <w:p>
      <w:r>
        <w:t xml:space="preserve">Beschäftigungsverhältnissen, deren Stellen im Haushalt bereits in</w:t>
      </w:r>
    </w:p>
    <w:p>
      <w:r>
        <w:t xml:space="preserve">Abgang gestellt sind, die Aufgabenübertragung aber noch nicht erfolgt ist.</w:t>
      </w:r>
    </w:p>
    <w:p>
      <w:r>
        <w:rPr>
          <w:color w:val="555555"/>
          <w:sz w:val="17"/>
        </w:rPr>
        <w:t xml:space="preserve">Zitiervorschlag: § 18 HG 1996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https://recht.nulegal.eu/gesetze/HG%201996/18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18 HG 1996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