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1995 (Brandenburg) — Personalwirtschaftliche Regelungen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Erläuterungen zu den Titeln der Gruppe 422 und</w:t>
      </w:r>
    </w:p>
    <w:p>
      <w:r>
        <w:t xml:space="preserve">für die Stellen der Beamtinnen und Beamten auf Probe bis zur Anstellung</w:t>
      </w:r>
    </w:p>
    <w:p>
      <w:r>
        <w:t xml:space="preserve">und zu den Titeln der Gruppen 425 und 426 sind hinsichtlich der Zahl der</w:t>
      </w:r>
    </w:p>
    <w:p>
      <w:r>
        <w:t xml:space="preserve">für die einzelnen Besoldungs-, Vergütungs- und Lohngruppen</w:t>
      </w:r>
    </w:p>
    <w:p>
      <w:r>
        <w:t xml:space="preserve">ausgebrachten Stellen verbindlich. Als Ausnahme können auf Planstellen</w:t>
      </w:r>
    </w:p>
    <w:p>
      <w:r>
        <w:t xml:space="preserve">auch beamtete Hilfskräfte, Angestellte, Arbeiter und auf Stellen für</w:t>
      </w:r>
    </w:p>
    <w:p>
      <w:r>
        <w:t xml:space="preserve">Angestellte auch Arbeiter geführt werden.</w:t>
      </w:r>
    </w:p>
    <w:p>
      <w:r>
        <w:t xml:space="preserve">(2) Innerhalb der jeweiligen Einzelpläne sind die Ausgaben</w:t>
      </w:r>
    </w:p>
    <w:p>
      <w:r>
        <w:t xml:space="preserve">bei Titeln der Gruppen 422 und 425 gegenseitig deckungsfähig.</w:t>
      </w:r>
    </w:p>
    <w:p>
      <w:r>
        <w:t xml:space="preserve">(3) Innerhalb der einzelnen Kapitel können verwendet</w:t>
      </w:r>
    </w:p>
    <w:p>
      <w:r>
        <w:t xml:space="preserve">werden (einseitige Deckungsfähigkeit):</w:t>
      </w:r>
    </w:p>
    <w:p>
      <w:r>
        <w:t xml:space="preserve">Einsparungen bei Titeln der Gruppen 422, 425 und 426, die durch die</w:t>
      </w:r>
    </w:p>
    <w:p>
      <w:r>
        <w:t xml:space="preserve">Gewährung von Erziehungsurlaub entstehen, zur Verstärkung der bei</w:t>
      </w:r>
    </w:p>
    <w:p>
      <w:r>
        <w:t xml:space="preserve">Titel 427 10 veranschlagten Ausgaben,</w:t>
      </w:r>
    </w:p>
    <w:p>
      <w:r>
        <w:t xml:space="preserve">Einsparungen bei Titeln der Gruppen 425 und 426 zur Verstärkung der</w:t>
      </w:r>
    </w:p>
    <w:p>
      <w:r>
        <w:t xml:space="preserve">bei Titeln der Gruppen 441 bis 443 und 453 veranschlagten Ausgaben.</w:t>
      </w:r>
    </w:p>
    <w:p>
      <w:r>
        <w:t xml:space="preserve">(4) Die Inanspruchnahme von Planstellen der Besoldungsgruppe A</w:t>
      </w:r>
    </w:p>
    <w:p>
      <w:r>
        <w:t xml:space="preserve">16, der Besoldungsordnung B, der Besoldungsgruppe R 2 und höher sowie der</w:t>
      </w:r>
    </w:p>
    <w:p>
      <w:r>
        <w:t xml:space="preserve">Besoldungsgruppe C 4 und von vergleichbaren Stellen für Angestellte bedarf</w:t>
      </w:r>
    </w:p>
    <w:p>
      <w:r>
        <w:t xml:space="preserve">der Einwilligung der Landesregierung. Hiervon ausgenommen sind der Landtag, das</w:t>
      </w:r>
    </w:p>
    <w:p>
      <w:r>
        <w:t xml:space="preserve">Landesverfassungsgericht und der Landesrechnungshof.</w:t>
      </w:r>
    </w:p>
    <w:p>
      <w:r>
        <w:t xml:space="preserve">(5) Planstellen und Stellen können für</w:t>
      </w:r>
    </w:p>
    <w:p>
      <w:r>
        <w:t xml:space="preserve">Zeiträume, in denen Stelleninhaberinnen oder Stelleninhaber</w:t>
      </w:r>
    </w:p>
    <w:p>
      <w:r>
        <w:t xml:space="preserve">vorübergehend nicht oder nicht vollbeschäftigt sind, innerhalb des</w:t>
      </w:r>
    </w:p>
    <w:p>
      <w:r>
        <w:t xml:space="preserve">jeweiligen Kapitels im Umfang der nicht in Anspruch genommenen Planstellen-</w:t>
      </w:r>
    </w:p>
    <w:p>
      <w:r>
        <w:t xml:space="preserve">oder Stellenanteile für die Beschäftigung von beamteten</w:t>
      </w:r>
    </w:p>
    <w:p>
      <w:r>
        <w:t xml:space="preserve">Hilfskräften und Kräften in zeitlich befristeten</w:t>
      </w:r>
    </w:p>
    <w:p>
      <w:r>
        <w:t xml:space="preserve">Arbeitsverträgen in Anspruch genommen werden. Dies gilt auch für die</w:t>
      </w:r>
    </w:p>
    <w:p>
      <w:r>
        <w:t xml:space="preserve">Dauer des Erziehungsurlaubs für Arbeitnehmerinnen oder Arbeitnehmer nach</w:t>
      </w:r>
    </w:p>
    <w:p>
      <w:r>
        <w:t xml:space="preserve">dem Bundeserziehungsgeldgesetz und für Beamte nach der</w:t>
      </w:r>
    </w:p>
    <w:p>
      <w:r>
        <w:t xml:space="preserve">Erziehungsurlaubsverordnung.</w:t>
      </w:r>
    </w:p>
    <w:p>
      <w:r>
        <w:t xml:space="preserve">(6) Unzulässig ist die Beschäftigung von</w:t>
      </w:r>
    </w:p>
    <w:p>
      <w:r>
        <w:t xml:space="preserve">Bediensteten, die nur eine geringfügige Beschäftigung ausüben</w:t>
      </w:r>
    </w:p>
    <w:p>
      <w:r>
        <w:t xml:space="preserve">und ein Entgelt unterhalb der Bemessungsgrenze für geringfügige</w:t>
      </w:r>
    </w:p>
    <w:p>
      <w:r>
        <w:t xml:space="preserve">Beschäftigung erhalten (§ 8 des Vierten Buches des</w:t>
      </w:r>
    </w:p>
    <w:p>
      <w:r>
        <w:t xml:space="preserve">Sozialgesetzbuches) sowie mit Teilzeitarbeitsverträgen mit weniger als der</w:t>
      </w:r>
    </w:p>
    <w:p>
      <w:r>
        <w:t xml:space="preserve">Hälfte der tariflich vereinbarten wöchentlichen Arbeitsstundenzahl.</w:t>
      </w:r>
    </w:p>
    <w:p>
      <w:r>
        <w:t xml:space="preserve">Die Einstellung von Behinderten oder die Beschäftigung nach § 2 des</w:t>
      </w:r>
    </w:p>
    <w:p>
      <w:r>
        <w:t xml:space="preserve">Bundeserziehungsgeldgesetzes wird hierdurch nicht berührt.</w:t>
      </w:r>
    </w:p>
    <w:p>
      <w:r>
        <w:t xml:space="preserve">(7) Der Minister der Finanzen wird ermächtigt, Planstellen</w:t>
      </w:r>
    </w:p>
    <w:p>
      <w:r>
        <w:t xml:space="preserve">für Lehrkräfte zur Besetzung mit Beamten, für die § 2 der</w:t>
      </w:r>
    </w:p>
    <w:p>
      <w:r>
        <w:t xml:space="preserve">Zweiten Besoldungsübergangsverordnung nicht gilt, nach Maßgabe des</w:t>
      </w:r>
    </w:p>
    <w:p>
      <w:r>
        <w:t xml:space="preserve">Bundesbesoldungsgesetzes zu heben.</w:t>
      </w:r>
    </w:p>
    <w:p>
      <w:r>
        <w:t xml:space="preserve">(8) Die Absätze 5 und 6 gelten entsprechend für</w:t>
      </w:r>
    </w:p>
    <w:p>
      <w:r>
        <w:t xml:space="preserve">landesunmittelbare juristische Personen des öffentlichen Rechts mit</w:t>
      </w:r>
    </w:p>
    <w:p>
      <w:r>
        <w:t xml:space="preserve">Ausnahme der Investitionsbank des Landes Brandenburg.</w:t>
      </w:r>
    </w:p>
    <w:p>
      <w:r>
        <w:rPr>
          <w:color w:val="555555"/>
          <w:sz w:val="17"/>
        </w:rPr>
        <w:t xml:space="preserve">Zitiervorschlag: § 9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