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HG 1995 (Brandenburg) — Inkrafttreten</w:t>
      </w:r>
    </w:p>
    <w:p>
      <w:r>
        <w:rPr>
          <w:color w:val="555555"/>
          <w:sz w:val="18"/>
        </w:rPr>
        <w:t xml:space="preserve">Haushaltsgesetz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mit Wirkung vom 1. Januar 1995 in Kraft.</w:t>
      </w:r>
    </w:p>
    <w:p>
      <w:r>
        <w:t xml:space="preserve">Potsdam, den 30. März 1995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Anm.: Die Anlagen wurden nicht aufgenommen.</w:t>
      </w:r>
    </w:p>
    <w:p>
      <w:r>
        <w:rPr>
          <w:color w:val="555555"/>
          <w:sz w:val="17"/>
        </w:rPr>
        <w:t xml:space="preserve">Zitiervorschlag: § 17 HG 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https://recht.nulegal.eu/gesetze/HG%201995/17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