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1995 (Brandenburg) — Feststellung des Haushaltsplanes</w:t>
      </w:r>
    </w:p>
    <w:p>
      <w:r>
        <w:rPr>
          <w:color w:val="555555"/>
          <w:sz w:val="18"/>
        </w:rPr>
        <w:t xml:space="preserve">Haushaltsgesetz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 beigefügte Haushaltsplan des</w:t>
      </w:r>
    </w:p>
    <w:p>
      <w:r>
        <w:t xml:space="preserve">Landes Brandenburg wird in Einnahme und Ausgabe auf 20 355 266 700 Deutsche</w:t>
      </w:r>
    </w:p>
    <w:p>
      <w:r>
        <w:t xml:space="preserve">Mark festgestellt. Der Gesamtbetrag der Verpflichtungsermächtigungen</w:t>
      </w:r>
    </w:p>
    <w:p>
      <w:r>
        <w:t xml:space="preserve">beläuft sich auf 12 137 558 900 Deutsche Mark.</w:t>
      </w:r>
    </w:p>
    <w:p>
      <w:r>
        <w:rPr>
          <w:color w:val="555555"/>
          <w:sz w:val="17"/>
        </w:rPr>
        <w:t xml:space="preserve">Zitiervorschlag: § 1 HG 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