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HG 1994 (Brandenburg) — Mehrausgaben</w:t>
      </w:r>
    </w:p>
    <w:p>
      <w:r>
        <w:rPr>
          <w:color w:val="555555"/>
          <w:sz w:val="18"/>
        </w:rPr>
        <w:t xml:space="preserve">Haushaltsgesetz 1994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gemäß § 37 Abs. 1 Satz 2 der</w:t>
      </w:r>
    </w:p>
    <w:p>
      <w:r>
        <w:t xml:space="preserve">Landeshaushaltsordnung zu bestimmende Betrag wird auf 10 000 000 DM</w:t>
      </w:r>
    </w:p>
    <w:p>
      <w:r>
        <w:t xml:space="preserve">festgesetzt, für Verpflichtungsermächtigungen § 38 Abs. 1 Satz 2</w:t>
      </w:r>
    </w:p>
    <w:p>
      <w:r>
        <w:t xml:space="preserve">der Landeshaushaltsordnung) als Jahresbetrag. Mit Einwilligung des Ausschusses</w:t>
      </w:r>
    </w:p>
    <w:p>
      <w:r>
        <w:t xml:space="preserve">für Haushalt und Finanzen sind von dieser Höchstgrenze die</w:t>
      </w:r>
    </w:p>
    <w:p>
      <w:r>
        <w:t xml:space="preserve">unvorhergesehenen Komplementärmittel ausgenommen, die das Land zur</w:t>
      </w:r>
    </w:p>
    <w:p>
      <w:r>
        <w:t xml:space="preserve">Mitfinanzierung der von den Europäischen Gemeinschaften oder vom</w:t>
      </w:r>
    </w:p>
    <w:p>
      <w:r>
        <w:t xml:space="preserve">Bund zweckgebunden zur Verfügung gestellten Ausgabemittel erbringen</w:t>
      </w:r>
    </w:p>
    <w:p>
      <w:r>
        <w:t xml:space="preserve">muß. Dies gilt entsprechend für vom Land im Rahmen der</w:t>
      </w:r>
    </w:p>
    <w:p>
      <w:r>
        <w:t xml:space="preserve">Bundesauftragsverwaltung zu erbringende unvorhergesehene und unabweisbare</w:t>
      </w:r>
    </w:p>
    <w:p>
      <w:r>
        <w:t xml:space="preserve">Verwaltungsausgaben.</w:t>
      </w:r>
    </w:p>
    <w:p>
      <w:r>
        <w:t xml:space="preserve">(2) Innerhalb der einzelnen Kapitel sind die Ansätze der</w:t>
      </w:r>
    </w:p>
    <w:p>
      <w:r>
        <w:t xml:space="preserve">Titel der Gruppen 511 bis 528 und 532 bis 546 mit Einwilligung des Ministers</w:t>
      </w:r>
    </w:p>
    <w:p>
      <w:r>
        <w:t xml:space="preserve">der Finanzen gegenseitig deckungsfähig. Eine Einwilligung ist dann nicht</w:t>
      </w:r>
    </w:p>
    <w:p>
      <w:r>
        <w:t xml:space="preserve">erforderlich, wenn die veranschlagte Ausgabe beim Einzeltitel nicht um mehr als</w:t>
      </w:r>
    </w:p>
    <w:p>
      <w:r>
        <w:t xml:space="preserve">2 000 DM oder um vierzig vom Hundert des Ansatzes überschritten werden</w:t>
      </w:r>
    </w:p>
    <w:p>
      <w:r>
        <w:t xml:space="preserve">soll.</w:t>
      </w:r>
    </w:p>
    <w:p>
      <w:r>
        <w:t xml:space="preserve">(3) Mehrausgaben bei Ausgaben für große Neu-, Um-</w:t>
      </w:r>
    </w:p>
    <w:p>
      <w:r>
        <w:t xml:space="preserve">und Erweiterungsbauten, die mit Teil- oder Gesamtbeträgen veranschlagt</w:t>
      </w:r>
    </w:p>
    <w:p>
      <w:r>
        <w:t xml:space="preserve">sind, dürfen mit Einwilligung des Ministers der Finanzen abweichend von</w:t>
      </w:r>
    </w:p>
    <w:p>
      <w:r>
        <w:t xml:space="preserve">§ 37 der Landeshaushaltsordnung in der Höhe geleistet werden, in der</w:t>
      </w:r>
    </w:p>
    <w:p>
      <w:r>
        <w:t xml:space="preserve">bei veranschlagten Ausgaben für andere große Neu-, Um- und</w:t>
      </w:r>
    </w:p>
    <w:p>
      <w:r>
        <w:t xml:space="preserve">Erweiterungsbauten kassenmäßige Minderausgaben entstehen.</w:t>
      </w:r>
    </w:p>
    <w:p>
      <w:r>
        <w:t xml:space="preserve">überschreiten diese Mehrausgaben den Betrag von 3 000 000 DM im</w:t>
      </w:r>
    </w:p>
    <w:p>
      <w:r>
        <w:t xml:space="preserve">Einzelfall, ist die Einwilligung des Ausschusses für Haushalt und Finanzen</w:t>
      </w:r>
    </w:p>
    <w:p>
      <w:r>
        <w:t xml:space="preserve">des Landtages einzuholen.</w:t>
      </w:r>
    </w:p>
    <w:p>
      <w:r>
        <w:t xml:space="preserve">(4) Von den in den Einzelplänen bei Hauptgruppe 7</w:t>
      </w:r>
    </w:p>
    <w:p>
      <w:r>
        <w:t xml:space="preserve">veranschlagten Mitteln, die bis zum 30. Juni 1994 nicht durch Aufträge</w:t>
      </w:r>
    </w:p>
    <w:p>
      <w:r>
        <w:t xml:space="preserve">belegt sind, fließen bis zu jeweils fünfzig vom Hundert dem Kapitel</w:t>
      </w:r>
    </w:p>
    <w:p>
      <w:r>
        <w:t xml:space="preserve">20 020 Titel 519 20 für die Verwendung im jeweiligen Geschäftsbereich</w:t>
      </w:r>
    </w:p>
    <w:p>
      <w:r>
        <w:t xml:space="preserve">zu. Der insgesamt zufließende Betrag darf eine Höhe von 40 000 000</w:t>
      </w:r>
    </w:p>
    <w:p>
      <w:r>
        <w:t xml:space="preserve">DM nicht übersteigen. Davon ausgenommen sind die Mittel der Hauptfunktion</w:t>
      </w:r>
    </w:p>
    <w:p>
      <w:r>
        <w:t xml:space="preserve">7 (Verkehrs- und Nachrichtenwesen) sowie mischfinanzierte Ausgaben. Die</w:t>
      </w:r>
    </w:p>
    <w:p>
      <w:r>
        <w:t xml:space="preserve">Feststellung der Beträge erfolgt durch die Landesbauverwaltung bis</w:t>
      </w:r>
    </w:p>
    <w:p>
      <w:r>
        <w:t xml:space="preserve">spätestens 31. Juli 1994. Die Umwidmung bedarf der Einwilligung des</w:t>
      </w:r>
    </w:p>
    <w:p>
      <w:r>
        <w:t xml:space="preserve">Ministers der Finanzen und des Ausschusses für Haushalt und Finanzen.</w:t>
      </w:r>
    </w:p>
    <w:p>
      <w:r>
        <w:t xml:space="preserve">(5) Der Minister der Finanzen berichtet dem Ausschuß</w:t>
      </w:r>
    </w:p>
    <w:p>
      <w:r>
        <w:t xml:space="preserve">für Haushalt und Finanzen nach Ende jeden Quartals über den aktuellen</w:t>
      </w:r>
    </w:p>
    <w:p>
      <w:r>
        <w:t xml:space="preserve">Mittelabfluß aus dem Landeshaushalt. Die Ressorts berichten darüber</w:t>
      </w:r>
    </w:p>
    <w:p>
      <w:r>
        <w:t xml:space="preserve">hinaus auch über den Stand der Bewilligungen bei den Hauptgruppen 6 und</w:t>
      </w:r>
    </w:p>
    <w:p>
      <w:r>
        <w:t xml:space="preserve">8.Der Bericht zum Ende des dritten Quartals umfaßt alle einzelnen</w:t>
      </w:r>
    </w:p>
    <w:p>
      <w:r>
        <w:t xml:space="preserve">Ausgabetitel der Hauptgruppen 5, 6, 7 und 8, die Besetzung der Planstellen und</w:t>
      </w:r>
    </w:p>
    <w:p>
      <w:r>
        <w:t xml:space="preserve">Stellen sowie die Vorbelastung zukünftiger Haushaltstitel durch die</w:t>
      </w:r>
    </w:p>
    <w:p>
      <w:r>
        <w:t xml:space="preserve">Inanspruchnahme von Verpflichtungsermächtigungen.</w:t>
      </w:r>
    </w:p>
    <w:p>
      <w:r>
        <w:t xml:space="preserve">(6) Der Minister der Finanzen berichtet dem Ausschuß</w:t>
      </w:r>
    </w:p>
    <w:p>
      <w:r>
        <w:t xml:space="preserve">für Haushalt und Finanzen über die Gewährung und Inanspruchnahme</w:t>
      </w:r>
    </w:p>
    <w:p>
      <w:r>
        <w:t xml:space="preserve">von Bürgschaften, Rückbürgschaften, Garantien und sonstigen</w:t>
      </w:r>
    </w:p>
    <w:p>
      <w:r>
        <w:t xml:space="preserve">Gewährleistungen durch das Land gemäß §§ 3 und 4 des</w:t>
      </w:r>
    </w:p>
    <w:p>
      <w:r>
        <w:t xml:space="preserve">Haushaltsgesetzes per 30. Juni 1994.</w:t>
      </w:r>
    </w:p>
    <w:p>
      <w:r>
        <w:rPr>
          <w:color w:val="555555"/>
          <w:sz w:val="17"/>
        </w:rPr>
        <w:t xml:space="preserve">Zitiervorschlag: § 5 HG 1994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https://recht.nulegal.eu/gesetze/HG%201994/5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