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1994 (Brandenburg) — Übergangsregelung zur Funktionalreform</w:t>
      </w:r>
    </w:p>
    <w:p>
      <w:r>
        <w:rPr>
          <w:color w:val="555555"/>
          <w:sz w:val="18"/>
        </w:rPr>
        <w:t xml:space="preserve">Haushaltsgesetz 1994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Landesregierung kann zulassen, daß</w:t>
      </w:r>
    </w:p>
    <w:p>
      <w:r>
        <w:t xml:space="preserve">Personalausgaben für Landesbedienstete, die im Zuge der Funktionalreform</w:t>
      </w:r>
    </w:p>
    <w:p>
      <w:r>
        <w:t xml:space="preserve">den kommunalen Gebietskörperschaften mit ihren Aufgaben zugeordnet werden,</w:t>
      </w:r>
    </w:p>
    <w:p>
      <w:r>
        <w:t xml:space="preserve">aus den in den betreffenden Kapiteln eingerichteten Titeln 633 10 (Erstattung</w:t>
      </w:r>
    </w:p>
    <w:p>
      <w:r>
        <w:t xml:space="preserve">aufgrund der Funktionalreform an Gemeinden) bis zum Wirksamwerden der</w:t>
      </w:r>
    </w:p>
    <w:p>
      <w:r>
        <w:t xml:space="preserve">Funktionalreform geleistet werden. Diese Regelung gilt entsprechend für</w:t>
      </w:r>
    </w:p>
    <w:p>
      <w:r>
        <w:t xml:space="preserve">die Leistung von Sachausgaben aus den Titeln 633 20 (Erstattung von Sach- und</w:t>
      </w:r>
    </w:p>
    <w:p>
      <w:r>
        <w:t xml:space="preserve">Investitionsausgaben an die Gemeinden). Die Gemeinden erhalten die nach</w:t>
      </w:r>
    </w:p>
    <w:p>
      <w:r>
        <w:t xml:space="preserve">erfolgter Aufgabenübertragung und Personalüberleitung verbleibenden</w:t>
      </w:r>
    </w:p>
    <w:p>
      <w:r>
        <w:t xml:space="preserve">veranschlagten Mittel dieser Titel.</w:t>
      </w:r>
    </w:p>
    <w:p>
      <w:r>
        <w:t xml:space="preserve">(2) Gleichzeitig wird die Landesregierung ermächtigt, die</w:t>
      </w:r>
    </w:p>
    <w:p>
      <w:r>
        <w:t xml:space="preserve">von der Funktionalreform betroffenen Bediensteten in bestehenden</w:t>
      </w:r>
    </w:p>
    <w:p>
      <w:r>
        <w:t xml:space="preserve">Beschäftigungsverhältnissen vorübergehend neben den</w:t>
      </w:r>
    </w:p>
    <w:p>
      <w:r>
        <w:t xml:space="preserve">Stellenplänen zu führen. Dies gilt abweichend von § 8 Abs. 1 des</w:t>
      </w:r>
    </w:p>
    <w:p>
      <w:r>
        <w:t xml:space="preserve">Haushaltsgesetzes und § 49 der Landeshaushaltsordnung.</w:t>
      </w:r>
    </w:p>
    <w:p>
      <w:r>
        <w:t xml:space="preserve">(3) Die Landesregierung wird beauftragt, dem Ausschuß</w:t>
      </w:r>
    </w:p>
    <w:p>
      <w:r>
        <w:t xml:space="preserve">für Haushalt und Finanzen des Landtages regelmäßig, mindestens</w:t>
      </w:r>
    </w:p>
    <w:p>
      <w:r>
        <w:t xml:space="preserve">jedoch einmal pro Quartal über den Stand der Übertragung der Aufgaben</w:t>
      </w:r>
    </w:p>
    <w:p>
      <w:r>
        <w:t xml:space="preserve">von Landesbehörden auf die kommunalen Gebietskörperschaften und die</w:t>
      </w:r>
    </w:p>
    <w:p>
      <w:r>
        <w:t xml:space="preserve">damit einhergehende Personalüberleitung zu berichten.</w:t>
      </w:r>
    </w:p>
    <w:p>
      <w:r>
        <w:rPr>
          <w:color w:val="555555"/>
          <w:sz w:val="17"/>
        </w:rPr>
        <w:t xml:space="preserve">Zitiervorschlag: § 13 HG 1994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https://recht.nulegal.eu/gesetze/HG%201994/13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