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HFKomV (Bayern)</w:t>
      </w:r>
    </w:p>
    <w:p>
      <w:r>
        <w:rPr>
          <w:color w:val="555555"/>
          <w:sz w:val="18"/>
        </w:rPr>
        <w:t xml:space="preserve">Härtefallkommissionsverordnung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Auf Grund des § 23a Abs. 2 Satz 1 des Gesetzes über den Aufenthalt, die Erwerbstätigkeit und die Integration von Ausländern im Bundesgebiet (Aufenthaltsgesetz – AufenthG) vom 30. Juli 2004 (BGBl I S. 1950), zuletzt geändert durch Art. 23 des Gesetzes vom 21. Juni 2005 (BGBl I S. 1818), erlässt die Bayerische Staatsregierung folgende Verordnung:</w:t>
      </w:r>
    </w:p>
    <w:p>
      <w:r>
        <w:rPr>
          <w:color w:val="555555"/>
          <w:sz w:val="17"/>
        </w:rPr>
        <w:t xml:space="preserve">Zitiervorschlag: Eingangsformel HFKomV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https://recht.nulegal.eu/gesetze/HFKomV/eingangsformel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