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HFKomV (Bayern) — Selbstbefassung</w:t>
      </w:r>
    </w:p>
    <w:p>
      <w:r>
        <w:rPr>
          <w:color w:val="555555"/>
          <w:sz w:val="18"/>
        </w:rPr>
        <w:t xml:space="preserve">Härtefallkommissionsverordnung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Härtefallkommission befasst sich mit einem Fall, wenn dies</w:t>
      </w:r>
    </w:p>
    <w:p>
      <w:r>
        <w:t xml:space="preserve">1. der Ausschuss für Eingaben und Beschwerden des Landtags vorgeschlagen hat,</w:t>
      </w:r>
    </w:p>
    <w:p>
      <w:r>
        <w:t xml:space="preserve">2. die Härtefallkommission auf Vorschlag eines stimmberechtigten Mitglieds beschlossen hat oder</w:t>
      </w:r>
    </w:p>
    <w:p>
      <w:r>
        <w:t xml:space="preserve">3. fünf stimmberechtigte Mitglieder der Härtefallkommission schriftlich beantragt haben.</w:t>
      </w:r>
    </w:p>
    <w:p>
      <w:r>
        <w:t xml:space="preserve">Der Vorsitzende legt die Tagesordnung der Sitzungen der Härtefallkommission fest.</w:t>
      </w:r>
    </w:p>
    <w:p>
      <w:r>
        <w:t xml:space="preserve">(2) War oder ist in der Angelegenheit eine Eingabe beim Landtag anhängig, erfolgt nur in Fällen des Abs. 1 Nr. 1 eine Befassung der Härtefallkommission.</w:t>
      </w:r>
    </w:p>
    <w:p>
      <w:r>
        <w:t xml:space="preserve">(3) Dritte können nicht verlangen, dass die Härtefallkommission sich mit einem bestimmten Einzelfall befasst oder eine bestimmte Entscheidung trifft (§ 23a Abs. 2 Satz 2 und 3 AufenthG).</w:t>
      </w:r>
    </w:p>
    <w:p>
      <w:r>
        <w:rPr>
          <w:color w:val="555555"/>
          <w:sz w:val="17"/>
        </w:rPr>
        <w:t xml:space="preserve">Zitiervorschlag: § 3 HFKomV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https://recht.nulegal.eu/gesetze/HFKomV/3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