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HFKomV (Bayern) — Zusammensetzung der Härtefallkommission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Härtefallkommission besteht aus folgenden Mitgliedern:</w:t>
      </w:r>
    </w:p>
    <w:p>
      <w:r>
        <w:t xml:space="preserve">1. jeweils einem Vertreter der Katholischen Kirche und der Evangelisch-Lutherischen Kirche in Bayern,</w:t>
      </w:r>
    </w:p>
    <w:p>
      <w:r>
        <w:t xml:space="preserve">2. drei Vertretern der Landesarbeitsgemeinschaft der Freien Wohlfahrtspflege in Bayern,</w:t>
      </w:r>
    </w:p>
    <w:p>
      <w:r>
        <w:t xml:space="preserve">3. vier Vertretern der kommunalen Spitzenverbände und</w:t>
      </w:r>
    </w:p>
    <w:p>
      <w:r>
        <w:t xml:space="preserve">4. einem Vertreter des Staatsministeriums, der vorbehaltlich § 9 nicht stimmberechtigt ist.</w:t>
      </w:r>
    </w:p>
    <w:p>
      <w:r>
        <w:t xml:space="preserve">(2) Die stimmberechtigten Mitglieder und deren Stellvertreter werden vom Staatsminister auf Vorschlag der jeweiligen Organisationen ernannt.</w:t>
      </w:r>
    </w:p>
    <w:p>
      <w:r>
        <w:t xml:space="preserve">(3) Der Vorsitzende der Härtefallkommission wird auf Vorschlag des Staatsministers von den Mitgliedern der Härtefallkommission gewählt. Gewählt ist, wer die Stimmen von zwei Dritteln der stimmberechtigten Mitglieder auf sich vereinigt.</w:t>
      </w:r>
    </w:p>
    <w:p>
      <w:r>
        <w:t xml:space="preserve">(4) Die stimmberechtigten Mitglieder der Härtefallkommission sind ehrenamtlich tätig. Anspruch auf Ersatz von Auslagen oder Verdienstausfall besteht nicht.</w:t>
      </w:r>
    </w:p>
    <w:p>
      <w:r>
        <w:rPr>
          <w:color w:val="555555"/>
          <w:sz w:val="17"/>
        </w:rPr>
        <w:t xml:space="preserve">Zitiervorschlag: § 2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