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Volltext HFKVO - (Nordrhein-Westfalen)</w:t>
      </w:r>
    </w:p>
    <w:p>
      <w:r>
        <w:rPr>
          <w:color w:val="555555"/>
          <w:sz w:val="18"/>
        </w:rPr>
        <w:t xml:space="preserve">Härtefallkommissionsverordnung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14. Dezember 2004</w:t>
      </w:r>
    </w:p>
    <w:p>
      <w:r>
        <w:t xml:space="preserve">Aufgrund des § 23a Abs. 2 des Aufenthaltsgesetzes (AufenthG) vom 30. Juli 2004 (BGBl. I S. 1950) wird verordnet:</w:t>
      </w:r>
    </w:p>
    <w:p>
      <w:r>
        <w:rPr>
          <w:color w:val="555555"/>
          <w:sz w:val="17"/>
        </w:rPr>
        <w:t xml:space="preserve">Zitiervorschlag: Volltext HFKVO -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https://recht.nulegal.eu/gesetze/HFKVO%20-/volltext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Volltext HFKVO -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