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HFKVO - (Nordrhein-Westfalen) — Inkrafttreten</w:t>
      </w:r>
    </w:p>
    <w:p>
      <w:r>
        <w:rPr>
          <w:color w:val="555555"/>
          <w:sz w:val="18"/>
        </w:rPr>
        <w:t xml:space="preserve">Härtefallkommissionsverordnung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Januar 2005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Innenminister</w:t>
      </w:r>
    </w:p>
    <w:p>
      <w:r>
        <w:rPr>
          <w:color w:val="555555"/>
          <w:sz w:val="17"/>
        </w:rPr>
        <w:t xml:space="preserve">Zitiervorschlag: § 9 HFKVO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https://recht.nulegal.eu/gesetze/HFKVO%20-/9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