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HFKVO - (Nordrhein-Westfalen) — Entscheidungsgrundsätze; Verfahrensvorschriften</w:t>
      </w:r>
    </w:p>
    <w:p>
      <w:r>
        <w:rPr>
          <w:color w:val="555555"/>
          <w:sz w:val="18"/>
        </w:rPr>
        <w:t xml:space="preserve">Härtefallkommissionsverordnung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Härtefallkommission gibt sich notwendige Entscheidungsgrundsätze im Einvernehmen mit dem für Ausländerangelegenheiten zuständige Ministerium.</w:t>
      </w:r>
    </w:p>
    <w:p>
      <w:r>
        <w:t xml:space="preserve">(2) Wird ein Vorprüfungsausschuss gebildet, regelt das für Ausländerangelegenheiten zuständige Ministerium im Benehmen mit der Härtefallkommission das Vorprüfungsverfahren auf der Grundlage der Entscheidungsgrundsätze.</w:t>
      </w:r>
    </w:p>
    <w:p>
      <w:r>
        <w:t xml:space="preserve">(3) Sonstige Verwaltungsvorschriften zum Verfahren erlässt das für Ausländerangelegenheiten zuständige Ministerium nach Anhörung der Härtefallkommission.</w:t>
      </w:r>
    </w:p>
    <w:p>
      <w:r>
        <w:rPr>
          <w:color w:val="555555"/>
          <w:sz w:val="17"/>
        </w:rPr>
        <w:t xml:space="preserve">Zitiervorschlag: § 8 HFKVO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https://recht.nulegal.eu/gesetze/HFKVO%20-/8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