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HFKVO - (Nordrhein-Westfalen) — Einrichtung</w:t>
      </w:r>
    </w:p>
    <w:p>
      <w:r>
        <w:rPr>
          <w:color w:val="555555"/>
          <w:sz w:val="18"/>
        </w:rPr>
        <w:t xml:space="preserve">Härtefallkommissionsverordnung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Beim für Ausländerangelegenheiten zuständigen Ministerium des Landes Nordrhein-Westfalen wird eine Härtefallkommission im Sinne des § 23a des Aufenthaltsgesetzes in der Fassung der Bekanntmachung vom 25. Februar 2008 (BGBl. I S. 162), das zuletzt durch Artikel 2 Absatz 3 des Gesetzes vom 4. November 2016 (BGBl. I S. 2460) geändert worden ist, eingerichtet.</w:t>
      </w:r>
    </w:p>
    <w:p>
      <w:r>
        <w:t xml:space="preserve">(2) Die Befugnis zur Aufenthaltsgewährung aufgrund des § 23a des Aufenthaltsgesetzes steht ausschließlich im öffentlichen Interesse und begründet keine eigenen Rechte des Ausländers.</w:t>
      </w:r>
    </w:p>
    <w:p>
      <w:r>
        <w:rPr>
          <w:color w:val="555555"/>
          <w:sz w:val="17"/>
        </w:rPr>
        <w:t xml:space="preserve">Zitiervorschlag: § 1 HFKVO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https://recht.nulegal.eu/gesetze/HFKVO%20-/1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