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HFKV (Brandenburg) — In-Kraft-Treten, Außer-Kraft-Treten</w:t>
      </w:r>
    </w:p>
    <w:p>
      <w:r>
        <w:rPr>
          <w:color w:val="555555"/>
          <w:sz w:val="18"/>
        </w:rPr>
        <w:t xml:space="preserve">Härtefallkommissionsverordnung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17. Januar 2005</w:t>
      </w:r>
    </w:p>
    <w:p>
      <w:r>
        <w:t xml:space="preserve">Die Landesregierung des Landes Brandenburg</w:t>
      </w:r>
    </w:p>
    <w:p>
      <w:r>
        <w:t xml:space="preserve">Der Ministerpräsident</w:t>
      </w:r>
    </w:p>
    <w:p>
      <w:r>
        <w:t xml:space="preserve">Matthias Platzeck</w:t>
      </w:r>
    </w:p>
    <w:p>
      <w:r>
        <w:t xml:space="preserve">Der Minister des Innern</w:t>
      </w:r>
    </w:p>
    <w:p>
      <w:r>
        <w:t xml:space="preserve">Jörg Schönbohm</w:t>
      </w:r>
    </w:p>
    <w:p>
      <w:r>
        <w:rPr>
          <w:color w:val="555555"/>
          <w:sz w:val="17"/>
        </w:rPr>
        <w:t xml:space="preserve">Zitiervorschlag: § 9 HFKV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https://recht.nulegal.eu/gesetze/HFKV/9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