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HFKV (Brandenburg) — Einrichtung</w:t>
      </w:r>
    </w:p>
    <w:p>
      <w:r>
        <w:rPr>
          <w:color w:val="555555"/>
          <w:sz w:val="18"/>
        </w:rPr>
        <w:t xml:space="preserve">Härtefallkommissionsverordnung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der für Inneres zuständigen obersten Landesbehörde wird eine Härtefallkommission als zuständige Stelle für Ersuchen nach § 23a des Aufenthaltsgesetzes eingerichtet.</w:t>
      </w:r>
    </w:p>
    <w:p>
      <w:r>
        <w:t xml:space="preserve">(2) Die Befugnis zur Aufenthaltsgewährung steht ausschließlich im öffentlichen Interesse und begründet keine eigenen Rechte der ausländischen Person.</w:t>
      </w:r>
    </w:p>
    <w:p>
      <w:r>
        <w:rPr>
          <w:color w:val="555555"/>
          <w:sz w:val="17"/>
        </w:rPr>
        <w:t xml:space="preserve">Zitiervorschlag: § 1 HFKV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https://recht.nulegal.eu/gesetze/HFKV/1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