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HEMBV</w:t>
      </w:r>
    </w:p>
    <w:p>
      <w:r>
        <w:rPr>
          <w:color w:val="555555"/>
          <w:sz w:val="18"/>
        </w:rPr>
        <w:t xml:space="preserve">Hinweisgeberschutzgesetz-Externe-Meldestelle-des-Bundes-Verordnung</w:t>
      </w:r>
    </w:p>
    <w:p>
      <w:r>
        <w:rPr>
          <w:color w:val="555555"/>
          <w:sz w:val="18"/>
        </w:rPr>
        <w:t xml:space="preserve">Stand: 11.08.2023 (konsolidierte Textfassung, kein amtliches Inkrafttretensdatum)</w:t>
      </w:r>
    </w:p>
    <w:p>
      <w:r>
        <w:t xml:space="preserve">Auf Grund des § 41 des Hinweisgeberschutzgesetzes vom 31. Mai 2023 (BGBl. 2023 I Nr. 140) verordnet das Bundesministerium der Justiz im Einvernehmen mit dem Bundesministerium für Wirtschaft und Klimaschutz, dem Bundesministerium der Finanzen, dem Bundesministerium des Innern und für Heimat, dem Bundesministerium für Arbeit und Soziales, dem Bundesministerium der Verteidigung, dem Bundesministerium für Gesundheit und dem Bundesministerium für Umwelt, Naturschutz, nukleare Sicherheit und Verbraucherschutz:</w:t>
      </w:r>
    </w:p>
    <w:p>
      <w:r>
        <w:rPr>
          <w:color w:val="555555"/>
          <w:sz w:val="17"/>
        </w:rPr>
        <w:t xml:space="preserve">Zitiervorschlag: Eingangsformel HEMBV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https://recht.nulegal.eu/gesetze/HEMBV/eingangsformel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