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HEMBV — Inkrafttreten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