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HEMBV — Weitere externe Meldestelle</w:t>
      </w:r>
    </w:p>
    <w:p>
      <w:r>
        <w:rPr>
          <w:color w:val="555555"/>
          <w:sz w:val="18"/>
        </w:rPr>
        <w:t xml:space="preserve">Hinweisgeberschutzgesetz-Externe-Meldestelle-des-Bundes-Verordnung</w:t>
      </w:r>
    </w:p>
    <w:p>
      <w:r>
        <w:rPr>
          <w:color w:val="555555"/>
          <w:sz w:val="18"/>
        </w:rPr>
        <w:t xml:space="preserve">Stand: 11.08.2023 (konsolidierte Textfassung, kein amtliches Inkrafttretensdatum)</w:t>
      </w:r>
    </w:p>
    <w:p>
      <w:r>
        <w:t xml:space="preserve">Für externe Meldungen über Verstöße innerhalb der externen Meldestelle des Bundes, die in die Zuständigkeit der externen Meldestelle des Bundes fallen, ist das Bundeskartellamt die weitere externe Meldestelle nach § 23 Absatz 1 des Hinweisgeberschutzgesetzes.</w:t>
      </w:r>
    </w:p>
    <w:p>
      <w:r>
        <w:rPr>
          <w:color w:val="555555"/>
          <w:sz w:val="17"/>
        </w:rPr>
        <w:t xml:space="preserve">Zitiervorschlag: § 7 HEMBV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https://recht.nulegal.eu/gesetze/HEMBV/7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