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HEMBV — Information und Beratung</w:t>
      </w:r>
    </w:p>
    <w:p>
      <w:r>
        <w:rPr>
          <w:color w:val="555555"/>
          <w:sz w:val="18"/>
        </w:rPr>
        <w:t xml:space="preserve">Hinweisgeberschutzgesetz-Externe-Meldestelle-des-Bundes-Verordnung</w:t>
      </w:r>
    </w:p>
    <w:p>
      <w:r>
        <w:rPr>
          <w:color w:val="555555"/>
          <w:sz w:val="18"/>
        </w:rPr>
        <w:t xml:space="preserve">Stand: 11.08.2023 (konsolidierte Textfassung, kein amtliches Inkrafttretensdatum)</w:t>
      </w:r>
    </w:p>
    <w:p>
      <w:r>
        <w:t xml:space="preserve">(1) Die externe Meldestelle des Bundes informiert und berät natürliche Personen, die in Erwägung ziehen, eine Meldung zu erstatten, insbesondere über</w:t>
      </w:r>
    </w:p>
    <w:p>
      <w:pPr>
        <w:ind w:left="420"/>
      </w:pPr>
      <w:r>
        <w:t xml:space="preserve">1. die nach § 2 Absatz 1 eingerichteten Meldekanäle,</w:t>
      </w:r>
    </w:p>
    <w:p>
      <w:pPr>
        <w:ind w:left="420"/>
      </w:pPr>
      <w:r>
        <w:t xml:space="preserve">2. die Möglichkeiten einer internen Meldung und deren Vorzüge,</w:t>
      </w:r>
    </w:p>
    <w:p>
      <w:pPr>
        <w:ind w:left="420"/>
      </w:pPr>
      <w:r>
        <w:t xml:space="preserve">3. den persönlichen Anwendungsbereich nach § 1 des Hinweisgeberschutzgesetzes,</w:t>
      </w:r>
    </w:p>
    <w:p>
      <w:pPr>
        <w:ind w:left="420"/>
      </w:pPr>
      <w:r>
        <w:t xml:space="preserve">4. den sachlichen Anwendungsbereich nach § 2 des Hinweisgeberschutzgesetzes, soweit die Zuständigkeit der externen Meldestelle des Bundes betroffen ist,</w:t>
      </w:r>
    </w:p>
    <w:p>
      <w:pPr>
        <w:ind w:left="420"/>
      </w:pPr>
      <w:r>
        <w:t xml:space="preserve">5. mögliche Folgemaßnahmen nach § 29 des Hinweisgeberschutzgesetzes,</w:t>
      </w:r>
    </w:p>
    <w:p>
      <w:pPr>
        <w:ind w:left="420"/>
      </w:pPr>
      <w:r>
        <w:t xml:space="preserve">6. die Voraussetzungen für den Schutz vor Repressalien und</w:t>
      </w:r>
    </w:p>
    <w:p>
      <w:pPr>
        <w:ind w:left="420"/>
      </w:pPr>
      <w:r>
        <w:t xml:space="preserve">7. verfügbare Abhilfemöglichkeiten und Verfahren für den Schutz vor Repressalien.</w:t>
      </w:r>
    </w:p>
    <w:p>
      <w:r>
        <w:t xml:space="preserve">(2) Die §§ 8 und 9 des Hinweisgeberschutzgesetzes gelten für Informationen und Beratungen der externen Meldestelle des Bundes nach Absatz 1 entsprechend.</w:t>
      </w:r>
    </w:p>
    <w:p>
      <w:r>
        <w:t xml:space="preserve">(3) Die Beratung umfasst keine rechtliche Prüfung des Einzelfalls.</w:t>
      </w:r>
    </w:p>
    <w:p>
      <w:r>
        <w:rPr>
          <w:color w:val="555555"/>
          <w:sz w:val="17"/>
        </w:rPr>
        <w:t xml:space="preserve">Zitiervorschlag: § 6 HEMBV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https://recht.nulegal.eu/gesetze/HEMBV/6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