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HEMBV — Elektronische Aktenführung, Akteneinsicht und Digitalisierung von Dokumenten</w:t>
      </w:r>
    </w:p>
    <w:p>
      <w:r>
        <w:rPr>
          <w:color w:val="555555"/>
          <w:sz w:val="18"/>
        </w:rPr>
        <w:t xml:space="preserve">Hinweisgeberschutzgesetz-Externe-Meldestelle-des-Bundes-Verordnung</w:t>
      </w:r>
    </w:p>
    <w:p>
      <w:r>
        <w:rPr>
          <w:color w:val="555555"/>
          <w:sz w:val="18"/>
        </w:rPr>
        <w:t xml:space="preserve">Stand: 11.08.2023 (konsolidierte Textfassung, kein amtliches Inkrafttretensdatum)</w:t>
      </w:r>
    </w:p>
    <w:p>
      <w:r>
        <w:t xml:space="preserve">(1) Die externe Meldestelle des Bundes kann Akten ganz oder teilweise elektronisch führen.</w:t>
      </w:r>
    </w:p>
    <w:p>
      <w:r>
        <w:t xml:space="preserve">(2) Die §§ 4 und 5 des Gesetzes über die Errichtung des Bundesamts für Justiz gelten für</w:t>
      </w:r>
    </w:p>
    <w:p>
      <w:pPr>
        <w:ind w:left="420"/>
      </w:pPr>
      <w:r>
        <w:t xml:space="preserve">1. die elektronische Aktenführung,</w:t>
      </w:r>
    </w:p>
    <w:p>
      <w:pPr>
        <w:ind w:left="420"/>
      </w:pPr>
      <w:r>
        <w:t xml:space="preserve">2. die Gewährung von Akteneinsicht und</w:t>
      </w:r>
    </w:p>
    <w:p>
      <w:pPr>
        <w:ind w:left="420"/>
      </w:pPr>
      <w:r>
        <w:t xml:space="preserve">3. die Digitalisierung von Dokumenten.</w:t>
      </w:r>
    </w:p>
    <w:p>
      <w:r>
        <w:rPr>
          <w:color w:val="555555"/>
          <w:sz w:val="17"/>
        </w:rPr>
        <w:t xml:space="preserve">Zitiervorschlag: § 5 HEMBV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https://recht.nulegal.eu/gesetze/HEMBV/5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