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HEMBV — Weitere vertrauliche Kommunikation</w:t>
      </w:r>
    </w:p>
    <w:p>
      <w:r>
        <w:rPr>
          <w:color w:val="555555"/>
          <w:sz w:val="18"/>
        </w:rPr>
        <w:t xml:space="preserve">Hinweisgeberschutzgesetz-Externe-Meldestelle-des-Bundes-Verordnung</w:t>
      </w:r>
    </w:p>
    <w:p>
      <w:r>
        <w:rPr>
          <w:color w:val="555555"/>
          <w:sz w:val="18"/>
        </w:rPr>
        <w:t xml:space="preserve">Stand: 11.08.2023 (konsolidierte Textfassung, kein amtliches Inkrafttretensdatum)</w:t>
      </w:r>
    </w:p>
    <w:p>
      <w:r>
        <w:t xml:space="preserve">(1) Die weitere vertrauliche Kommunikation zwischen der externen Meldestelle des Bundes und der hinweisgebenden Person erfolgt über die nach § 2 Absatz 1 eingerichteten Meldekanäle, es sei denn die hinweisgebende Person schlägt einen anderen Kommunikationsweg vor und seitens der externen Meldestelle des Bundes bestehen nach pflichtgemäßem Ermessen keine Einwände dagegen.</w:t>
      </w:r>
    </w:p>
    <w:p>
      <w:r>
        <w:t xml:space="preserve">(2) Für die Kommunikation mit dem betroffenen Beschäftigungsgeber, Dritten, Gerichten und anderen Behörden im In- und Ausland richtet das Bundesamt für Justiz angemessene Verfahren für die Übermittlung personenbezogener Daten der in § 8 Absatz 1 des Hinweisgeberschutzgesetzes genannten Personen ein. Das Bundesamt für Justiz gibt die Übertragungswege auf seiner Internetseite bekannt.</w:t>
      </w:r>
    </w:p>
    <w:p>
      <w:r>
        <w:rPr>
          <w:color w:val="555555"/>
          <w:sz w:val="17"/>
        </w:rPr>
        <w:t xml:space="preserve">Zitiervorschlag: § 3 HEMBV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https://recht.nulegal.eu/gesetze/HEMBV/3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