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HDiszErstV — Erstattungsbetrag</w:t>
      </w:r>
    </w:p>
    <w:p>
      <w:r>
        <w:rPr>
          <w:color w:val="555555"/>
          <w:sz w:val="18"/>
        </w:rPr>
        <w:t xml:space="preserve">Haushaltsdisziplin-Erstattungsverordnung</w:t>
      </w:r>
    </w:p>
    <w:p>
      <w:r>
        <w:rPr>
          <w:color w:val="555555"/>
          <w:sz w:val="18"/>
        </w:rPr>
        <w:t xml:space="preserve">Historische Fassung: Stand 10.06.2019 bis 11.01.2023. Dies ist nicht die aktuelle Fassung.</w:t>
      </w:r>
    </w:p>
    <w:p>
      <w:r>
        <w:t xml:space="preserve">(1) Der Erstattungsbetrag für die Betriebsinhaber wird berechnet, indem die für das Kalenderjahr zu gewährenden Direktzahlungen, die nach Artikel 8 Absatz 1 der Verordnung (EU) Nr. 1307/2013 dem in Artikel 26 der Verordnung (EU) Nr. 1306/2013 geregelten Anpassungssatz unterliegen, mit dem nach § 2 Absatz 2 und 3 ermittelten Erstattungsfaktor multipliziert werden.</w:t>
      </w:r>
    </w:p>
    <w:p>
      <w:r>
        <w:t xml:space="preserve">(2) Für die in einem Haushaltsjahr verspätet aus früheren Antragsjahren ausgezahlten Direktzahlungsbeträge wird der Erstattungsfaktor verwendet, der für das Antragsjahr, in dem diese Direktzahlungen beantragt worden sind, ermittelt wurde.</w:t>
      </w:r>
    </w:p>
    <w:p>
      <w:r>
        <w:t xml:space="preserve">(3) Eine Auszahlung von Erstattungsbeträgen an die Betriebsinhaber erfolgt nur in den EU-Agrar-Haushaltsjahren gemäß Artikel 39 der Verordnung (EU) Nr. 1306/2013, auf die Mittel aus der Haushaltsdisziplin gemäß Artikel 169 Absatz 3 der Verordnung (EU, Euratom) Nr. 966/2012 in Verbindung mit Artikel 26 Absatz 5 der Verordnung (EU) Nr. 1306/2013 übertragen werden.</w:t>
      </w:r>
    </w:p>
    <w:p>
      <w:r>
        <w:rPr>
          <w:color w:val="555555"/>
          <w:sz w:val="17"/>
        </w:rPr>
        <w:t xml:space="preserve">Zitiervorschlag: § 4 HDiszErstV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https://recht.nulegal.eu/gesetze/HDiszErstV/4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