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HDiszErstV — Erstattungsfaktor</w:t>
      </w:r>
    </w:p>
    <w:p>
      <w:r>
        <w:rPr>
          <w:color w:val="555555"/>
          <w:sz w:val="18"/>
        </w:rPr>
        <w:t xml:space="preserve">Haushaltsdisziplin-Erstattungsverordnung</w:t>
      </w:r>
    </w:p>
    <w:p>
      <w:r>
        <w:rPr>
          <w:color w:val="555555"/>
          <w:sz w:val="18"/>
        </w:rPr>
        <w:t xml:space="preserve">Historische Fassung: Stand 10.06.2019 bis 11.01.2023. Dies ist nicht die aktuelle Fassung.</w:t>
      </w:r>
    </w:p>
    <w:p>
      <w:r>
        <w:t xml:space="preserve">(1) Die Bundesanstalt für Landwirtschaft und Ernährung legt im Falle des Erlasses eines Durchführungsrechtsakts nach Artikel 26 Absatz 6 der Verordnung (EU) Nr. 1306/2013 einen Erstattungsfaktor für die Berechnung der Erstattungsbeträge an die nach Artikel 26 Absatz 5 der Verordnung (EU) Nr. 1306/2013 begünstigten Betriebsinhaber fest. Das maßgebliche Antragsjahr für die Erstattung ist das Kalenderjahr, das in dem EU-Agrar-Haushaltsjahr nach Artikel 39 der Verordnung (EU) Nr. 1306/2013 endet, auf das die Mittel übertragen werden.</w:t>
      </w:r>
    </w:p>
    <w:p>
      <w:r>
        <w:t xml:space="preserve">(2) Für die Berechnung des Erstattungsfaktors wird der von der Europäischen Kommission für Deutschland nach Artikel 26 Absatz 6 der Verordnung (EU) Nr. 1306/2013 festgelegte Betrag dividiert durch den Gesamtbetrag der für das Kalenderjahr in Deutschland zu gewährenden Direktzahlungen, die dem Anpassungssatz nach Maßgabe des Artikels 8 Absatz 1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unterliegen.</w:t>
      </w:r>
    </w:p>
    <w:p>
      <w:r>
        <w:t xml:space="preserve">(3) Zu dem Gesamtbetrag der zu gewährenden Direktzahlungen im Sinne des Absatzes 2 wird ein Betrag in Höhe von 10 000 000 Euro addiert.</w:t>
      </w:r>
    </w:p>
    <w:p>
      <w:r>
        <w:t xml:space="preserve">(4) Die Bundesanstalt für Landwirtschaft und Ernährung macht den nach den Absätzen 2 und 3 ermittelten Erstattungsfaktor, abgerundet auf sechs Nachkommastellen, im Bundesanzeiger bekannt.</w:t>
      </w:r>
    </w:p>
    <w:p>
      <w:r>
        <w:rPr>
          <w:color w:val="555555"/>
          <w:sz w:val="17"/>
        </w:rPr>
        <w:t xml:space="preserve">Zitiervorschlag: § 2 HDiszErstV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https://recht.nulegal.eu/gesetze/HDiszErstV/2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