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HDiszErstV — Anwendungsbereich</w:t>
      </w:r>
    </w:p>
    <w:p>
      <w:r>
        <w:rPr>
          <w:color w:val="555555"/>
          <w:sz w:val="18"/>
        </w:rPr>
        <w:t xml:space="preserve">Haushaltsdisziplin-Erstattungsverordnung</w:t>
      </w:r>
    </w:p>
    <w:p>
      <w:r>
        <w:rPr>
          <w:color w:val="555555"/>
          <w:sz w:val="18"/>
        </w:rPr>
        <w:t xml:space="preserve">Historische Fassung: Stand 10.06.2019 bis 11.01.2023. Dies ist nicht die aktuelle Fassung.</w:t>
      </w:r>
    </w:p>
    <w:p>
      <w:r>
        <w:t xml:space="preserve">Die Vorschriften dieser Verordnung gelten für die Durchführung der Erstattung von im Rahmen der Haushaltsdisziplin übertragenen Mitteln an die Betriebsinhaber nach Maßgabe des Artikels 169 Absatz 3 der Verordnung (EU, EURATOM) Nr. 966/2012 des Europäischen Parlaments und des Rates vom 25. Oktober 2012 über die Haushaltsordnung für den Gesamthaushaltsplan der Union und zur Aufhebung der Verordnung (EG, Euratom) Nr. 1605/2002 des Rates (ABl. L 298 vom 26.10.2012, S. 1), die durch die Verordnung (EU, Euratom) Nr. 547/2014 (ABl. L 163 vom 29.5.2014, S. 18) geändert worden ist, in Verbindung mit den Artikeln 25 und 26 Absatz 5 und 7 der Verordnung (EU) Nr. 1306/2013 des Europäischen Parlaments und des Rates vom 17. Dezember 2013 über die Finanzierung, die Verwaltung und das Kontrollsystem der Gemeinsamen Agrarpolitik und zur Aufhebung der Verordnungen (EWG) Nr. 352/78, (EG) Nr. 165/94, (EG) Nr. 2799/98, (EG) Nr. 814/2000, (EG) Nr. 1290/2005 und (EG) Nr. 485/2008 des Rates (ABl. L 347 vom 20.12.2013, S. 549) in der jeweils geltenden Fassung.</w:t>
      </w:r>
    </w:p>
    <w:p>
      <w:r>
        <w:rPr>
          <w:color w:val="555555"/>
          <w:sz w:val="17"/>
        </w:rPr>
        <w:t xml:space="preserve">Zitiervorschlag: § 1 HDiszErstV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https://recht.nulegal.eu/gesetze/HDiszErstV/1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