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HDVO (Nordrhein-Westfalen)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Oktober 2020</w:t>
      </w:r>
    </w:p>
    <w:p>
      <w:r>
        <w:t xml:space="preserve">Auf Grund der § 13 Absatz 1 Satz 4 und 5, § 54 Absatz 3 Satz 4 und 5 des Hochschulgesetzes vom 16. September 2014 (GV. NRW. S. 547), von denen durch Artikel 1 des Gesetzes vom 12. Juli 2019 (GV. NRW. S. 425, ber. S. 593) § 13 Absatz 1 Satz 4 und 5 neu gefasst und § 54 Absatz 3 Satz 4 und 5 angefügt worden sind, verordnet das Ministerium für Kultur und Wissenschaft:</w:t>
      </w:r>
    </w:p>
    <w:p>
      <w:r>
        <w:rPr>
          <w:color w:val="555555"/>
          <w:sz w:val="17"/>
        </w:rPr>
        <w:t xml:space="preserve">Zitiervorschlag: Eingangsformel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