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HDVO (Nordrhein-Westfalen) — Technische Anforderungen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Sicherung der Wahlgrundsätze der unmittelbaren, freien, gleichen und geheimen Wahl dürfen elektronische Wahlen nur dann durchgeführt werden, wenn das verwendete elektronische Wahlsystem aktuellen technischen Standards, insbesondere den Sicherheitsanforderungen für Online-Wahlprodukte des Bundesamtes für Sicherheit in der Informationstechnik entspricht. Die Konkretisierung des Standes der Technik muss der Bedeutung der Wahl Rechnung tragen, darf aber den finanziellen Aufwand berücksichtigen.</w:t>
      </w:r>
    </w:p>
    <w:p>
      <w:r>
        <w:t xml:space="preserve">(2) Das elektronische Wahlsystem muss gewährleisten, dass</w:t>
      </w:r>
    </w:p>
    <w:p>
      <w:r>
        <w:t xml:space="preserve">1. die elektronische Wahlurne und das elektronische Wahlverzeichnis auf verschiedener Serverhardware geführt werden; das Wahlverzeichnis soll auf einem universitätseigenen Server gespeichert sein,</w:t>
      </w:r>
    </w:p>
    <w:p>
      <w:r>
        <w:t xml:space="preserve">2. die Wahlserver vor Angriffen aus dem Netz geschützt und nur autorisierte Zugriffe zugelassen sind,</w:t>
      </w:r>
    </w:p>
    <w:p>
      <w:r>
        <w:t xml:space="preserve">3. im Falle des Ausfalles oder der Störung eines Servers oder eines Serverbereiches keine Stimmen unwiederbringlich verloren gehen können,</w:t>
      </w:r>
    </w:p>
    <w:p>
      <w:r>
        <w:t xml:space="preserve">4. das Übertragungsverfahren der Wahldaten vor Ausspäh- und Entschlüsselungsversuchen geschützt ist,</w:t>
      </w:r>
    </w:p>
    <w:p>
      <w:r>
        <w:t xml:space="preserve">5. die Übertragungswege zur Überprüfung der Stimmberechtigung der wählenden Person, der Gültigkeit ihrer Versicherung sowie zur Registrierung der Stimmabgabe im Wahlverzeichnis und die Stimmabgabe in die elektronische Wahlurne so ausgestaltet sind, dass zu keiner Zeit eine Zuordnung des Inhalts der Wahlentscheidung zur wählenden Person möglich ist,</w:t>
      </w:r>
    </w:p>
    <w:p>
      <w:r>
        <w:t xml:space="preserve">6. eine Stimme nicht mehrfach abgegeben werden kann,</w:t>
      </w:r>
    </w:p>
    <w:p>
      <w:r>
        <w:t xml:space="preserve">7. durch das verwendete elektronische Wahlsystem die Stimme der wählenden Person bei der Stimmeingabe nicht in dem von ihr hierzu verwendeten Computer gespeichert und der elektronische Stimmzettel auf dem Bildschirm nach Absenden der Stimmeingabe unverzüglich ausgeblendet wird,</w:t>
      </w:r>
    </w:p>
    <w:p>
      <w:r>
        <w:t xml:space="preserve">8. unbemerkte Veränderungen der Stimmeingabe durch Dritte ausgeschlossen sind,</w:t>
      </w:r>
    </w:p>
    <w:p>
      <w:r>
        <w:t xml:space="preserve">9. die Speicherung der abgegebenen Stimme in der elektronischen Wahlurne nach einem nicht nachvollziehbaren Zufallsprinzip erfolgt,</w:t>
      </w:r>
    </w:p>
    <w:p>
      <w:r>
        <w:t xml:space="preserve">10. die Anmeldung am Wahlsystem, die Auswahl und Abgabe der Stimme sowie persönliche Informationen und IP-Adressen der wahlberechtigten Personen nicht in einer Weise protokolliert werden, die den Grundsatz der geheimen Wahl gefährdet, und</w:t>
      </w:r>
    </w:p>
    <w:p>
      <w:r>
        <w:t xml:space="preserve">11. die Datensätze der elektronischen Wahlurne auch nach der Auszählung solange gesichert sind, bis die Wahlen unanfechtbar geworden sind.</w:t>
      </w:r>
    </w:p>
    <w:p>
      <w:r>
        <w:t xml:space="preserve">Die Wahlordnung regelt das Nähere insbesondere zur näheren Spezifikation des Stands der Technik nach Absatz 1, zu dem autorisierten Zugriff nach Satz 2 Nummer 2, zum Verlustschutz nach Satz 2 Nummer 3, zu dem Schutz des Übertragungsverfahrens der Wahldaten nach Satz 2 Nummer 4 und zur Ausgestaltung nach Satz 2 Nummer 5.</w:t>
      </w:r>
    </w:p>
    <w:p>
      <w:r>
        <w:t xml:space="preserve">(3) Die Hochschule und die Studierendenschaft sind berechtigt, zur Durchführung der elektronischen Wahl und zur Feststellung des ausreichenden technischen Sicherheitsstandards externe Dienstleistung in Anspruch zu nehmen. Bedient sich die Hochschule oder die Studierendenschaft bei der Durchführung der Wahl einer externen Dienstleistung, ist diese auf die Einhaltung der rechtlichen Vorgaben dieser Verordnung und der Wahlordnung vertraglich zu verpflichten, es sei denn, nach den Geschäftsbedingungen der externen Dienstleistung, die Bestandteil des Vertrages zwischen dieser Dienstleistung und der Hochschule oder der Studierendenschaft werden, ist gesichert, dass die Dienstleistung die rechtlichen Vorgaben dieser Verordnung und der Wahlordnung einhält. Die Wahlordnung regelt das Nähere zur Sicherstellung dieser Vorgaben.</w:t>
      </w:r>
    </w:p>
    <w:p>
      <w:r>
        <w:rPr>
          <w:color w:val="555555"/>
          <w:sz w:val="17"/>
        </w:rPr>
        <w:t xml:space="preserve">Zitiervorschlag: § 4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