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HDVO (Nordrhein-Westfalen) — Befugnisse des Ministeriums</w:t>
      </w:r>
    </w:p>
    <w:p>
      <w:r>
        <w:rPr>
          <w:color w:val="555555"/>
          <w:sz w:val="18"/>
        </w:rPr>
        <w:t xml:space="preserve">Hochschul-Digitalverordnung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Ministerium ist zur Steuerung des Hochschulwesens befugt, die Durchführung von Digitallehre für unzulässig zu erklären, soweit es hierzu allgemeine Regelungen nach Absatz 2 erlassen hat. Das Gleiche gilt für die Abnahme digitaler Prüfungen, es sei denn, ihre Zulässigkeit ist in der Prüfungsordnung geregelt. Die Erklärung nach Satz 1 wirkt für die Lehre des dem Zeitpunkt der Erklärung folgenden Semesters, wenn in der Erklärung nichts anderes bestimmt ist; die betroffene Lehre findet ab dem Eintritt der Wirkung der Erklärung als Präsenzlehre statt. Die Erklärung nach Satz 2 wirkt für die Prüfungen, welche der Lehre des dem Zeitpunkt der Erklärung folgenden Semesters zugeordnet sind, wenn in der Erklärung nichts anderes bestimmt ist; die betroffenen Prüfungen werden ab dem Eintritt der Wirkung der Erklärung als Präsenzprüfung abgenommen.</w:t>
      </w:r>
    </w:p>
    <w:p>
      <w:r>
        <w:t xml:space="preserve">(2) Allgemeine Regelungen im Sinne des Absatzes 1 Satz 1 sind generell-abstrakte Grundsätze, die das Ministerium sich für seine internen Verfahren zur Prüfung der Unzulässigkeit von Digitallehre oder digitaler Prüfungen gibt. Bestehen keine derartigen allgemeinen Regelungen, entfällt die Befugnis nach Absatz 1 Satz 1 und 2.</w:t>
      </w:r>
    </w:p>
    <w:p>
      <w:r>
        <w:t xml:space="preserve">(3) Das Ministerium kann sich über die Einführung und Durchführung von Digitallehre informieren und erheben, ob sich die Umsetzung der Bestimmungen der Teile 2 und 3 dieser Verordnung bewährt hat. Hinsichtlich dieser Information und Erhebung gelten § 101 Absatz 4 des Hochschulgesetzes und § 68 Absatz 4 des Kunsthochschulgesetzes.</w:t>
      </w:r>
    </w:p>
    <w:p>
      <w:r>
        <w:t xml:space="preserve">(4) Ministerium im Sinne dieser Verordnung ist das für Hochschulen zuständige Ministerium.</w:t>
      </w:r>
    </w:p>
    <w:p>
      <w:r>
        <w:rPr>
          <w:color w:val="555555"/>
          <w:sz w:val="17"/>
        </w:rPr>
        <w:t xml:space="preserve">Zitiervorschlag: § 28 HDVO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https://recht.nulegal.eu/gesetze/HDVO/28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