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HDVO (Nordrhein-Westfalen) — Verhältnis zu den Ordnungen der Hochschule,Vorrang des Bundesrechts</w:t>
      </w:r>
    </w:p>
    <w:p>
      <w:r>
        <w:rPr>
          <w:color w:val="555555"/>
          <w:sz w:val="18"/>
        </w:rPr>
        <w:t xml:space="preserve">Hochschul-Digitalverordnung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Prüfungsordnung darf von den §§ 18 bis 23 abweichende Bestimmungen treffen. Ist die Zulässigkeit von digitalen Prüfungen in der Prüfungsordnung geregelt, finden die § 1 Absatz 2, §§ 25, 27, 29 und 31 Absatz 1 und die Regelungen des Teils 3 ergänzend Anwendung, soweit die jeweilige Prüfungsordnung keine Regelung trifft.</w:t>
      </w:r>
    </w:p>
    <w:p>
      <w:r>
        <w:t xml:space="preserve">(2) Bundesrechtliche Vorschriften betreffend die Ausbildung in medizinischen Heilberufen bleiben unberührt und gehen den Regelungen dieser Verordnung vor.</w:t>
      </w:r>
    </w:p>
    <w:p>
      <w:r>
        <w:t xml:space="preserve">(3) Die Bestimmungen des Teils 2 gehen widersprechenden Regelungen in den Ordnungen oder Geschäftsordnungen der Hochschule sowie in der Digitalisierungsleitlinie vor.</w:t>
      </w:r>
    </w:p>
    <w:p>
      <w:r>
        <w:rPr>
          <w:color w:val="555555"/>
          <w:sz w:val="17"/>
        </w:rPr>
        <w:t xml:space="preserve">Zitiervorschlag: § 26 HDVO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https://recht.nulegal.eu/gesetze/HDVO/26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