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HDVO (Nordrhein-Westfalen) — Verhältnis digitaler Lehre zu Prüfungen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eine Prüfung erfolgreich abgeschlossen und wurde die ihr nach Maßgabe der einschlägigen Regelungen zugeordnete Lehre unter Verletzung der Erfordernisse des § 14 unzulässig in Form von Digitallehre durchgeführt, bleibt das Ergebnis der Prüfung vorbehaltlich des Satzes 2 unberührt. Die geprüfte Person ist berechtigt, innerhalb eines Monats nach Bekanntgabe des Prüfungsergebnisses gegenüber der Hochschule zu erklären, dass die Prüfung als nicht unternommen gilt.</w:t>
      </w:r>
    </w:p>
    <w:p>
      <w:r>
        <w:t xml:space="preserve">(2) Ist eine Prüfung nicht bestanden und wurde die ihr zugeordnete Lehre unter Verletzung der Erfordernisse des § 14 unzulässig in Form von Digitallehre durchgeführt und hat die geprüfte Person dies innerhalb eines Monats nach Bekanntgabe des Prüfungsergebnisses gegenüber der Hochschule gerügt, gilt die Prüfung als nicht unternommen.</w:t>
      </w:r>
    </w:p>
    <w:p>
      <w:r>
        <w:rPr>
          <w:color w:val="555555"/>
          <w:sz w:val="17"/>
        </w:rPr>
        <w:t xml:space="preserve">Zitiervorschlag: § 24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