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 HDVO (Nordrhein-Westfalen) — Geltungsbereich</w:t>
      </w:r>
    </w:p>
    <w:p>
      <w:r>
        <w:rPr>
          <w:color w:val="555555"/>
          <w:sz w:val="18"/>
        </w:rPr>
        <w:t xml:space="preserve">Hochschul-Digitalverordnung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(1) § 1 Absatz 1 und 4, Teil 1 sowie § 31 Absatz 3 gelten für die staatlich getragenen Universitäten und Fachhochschulen im Sinne des § 1 Absatz 2 des Hochschulgesetzes, für die staatlichen Kunsthochschulen im Sinne des § 1 Absatz 2 des Kunsthochschulgesetzes und für die Studierendenschaften dieser Hochschulen. Die Regelungen des Teils 1 gelten</w:t>
      </w:r>
    </w:p>
    <w:p>
      <w:r>
        <w:t xml:space="preserve">1. für die Wahl der Vertreterinnen und Vertreter der Mitgliedergruppen im Senat und im Fachbereichsrat sowie für die Wahl des Studierendenparlaments und</w:t>
      </w:r>
    </w:p>
    <w:p>
      <w:r>
        <w:t xml:space="preserve">2. für alle anderen in Urwahl stattfindenden Wahlen in der Hochschule und der Studierendenschaft,</w:t>
      </w:r>
    </w:p>
    <w:p>
      <w:r>
        <w:t xml:space="preserve">wenn die Wahlordnung vorsieht, dass eine elektronische Wahl durch Abgabe der Stimme in elektronischer Form durchgeführt wird oder durchgeführt werden kann. Für Wahlen im Sinne des Satzes 2 Nummer 2 kann die Wahlordnung der Hochschule und der Studierendenschaft im Übrigen von Teil 1 abweichende Regelungen treffen.</w:t>
      </w:r>
    </w:p>
    <w:p>
      <w:r>
        <w:t xml:space="preserve">(2) § 1 Absatz 2 sowie die Teile 2 bis 4 und 6 mit Ausnahme des § 31 Absatz 3 gelten für die staatlich getragenen Universitäten und Fachhochschulen im Sinne des § 1 Absatz 2 des Hochschulgesetzes und für die staatlichen Kunsthochschulen im Sinne des § 1 Absatz 2 des Kunsthochschulgesetzes.</w:t>
      </w:r>
    </w:p>
    <w:p>
      <w:r>
        <w:rPr>
          <w:color w:val="555555"/>
          <w:sz w:val="17"/>
        </w:rPr>
        <w:t xml:space="preserve">Zitiervorschlag: § 2 HDVO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https://recht.nulegal.eu/gesetze/HDVO/2</w:t>
      </w:r>
    </w:p>
    <w:p>
      <w:r>
        <w:rPr>
          <w:color w:val="767676"/>
          <w:sz w:val="15"/>
        </w:rPr>
        <w:t xml:space="preserve">nu:legal · recht.nulegal.eu · Nicht-amtliche Lesefassung. Amtliche Fassung: recht.nrw.de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