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HDVO (Nordrhein-Westfalen) — Zuständige Entscheidungsgremienin besonderen Fällen</w:t>
      </w:r>
    </w:p>
    <w:p>
      <w:r>
        <w:rPr>
          <w:color w:val="555555"/>
          <w:sz w:val="18"/>
        </w:rPr>
        <w:t xml:space="preserve">Hochschul-Digitalverordnung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Wirken an einer Lehrveranstaltung mehrere Fachbereiche, auch verschiedener Hochschulen, zusammen, üben der Fachbereichsrat und der Studienbeirat desjenigen Fachbereichs, dem die Lehrveranstaltung als Lehreinheit zugeordnet ist, die Befugnisse nach § 14 aus.</w:t>
      </w:r>
    </w:p>
    <w:p>
      <w:r>
        <w:t xml:space="preserve">(2) Besteht für eine Lehrveranstaltung innerhalb eines Studienganges, an der mehrere Fachbereiche zusammenwirken, ein gemeinsamer Ausschuss, übt dieser die Befugnisse des Fachbereichsrates nach § 14 aus; die Befugnisse des Studienbeirates nach § 14 übt der durch das Rektorat bestimmte Studienbeirat aus. Beim Verbundstudium übt der gemeinsam durch die Rektorate der beteiligten Hochschulen bestimmte Studienbeirat die Befugnisse des Studienbeirates nach § 14 aus.</w:t>
      </w:r>
    </w:p>
    <w:p>
      <w:r>
        <w:t xml:space="preserve">(3) Falls an einer Kunsthochschule Digitallehre stattfinden soll, nehmen die Befugnisse des Studienbeirates entweder</w:t>
      </w:r>
    </w:p>
    <w:p>
      <w:r>
        <w:t xml:space="preserve">1. gemeinsam die Vertreterinnen und Vertreter der Gruppe der Studierenden im Fachbereichsrat sowie im Senat,</w:t>
      </w:r>
    </w:p>
    <w:p>
      <w:r>
        <w:t xml:space="preserve">2. das Gremium nach Absatz 4 oder</w:t>
      </w:r>
    </w:p>
    <w:p>
      <w:r>
        <w:t xml:space="preserve">3. der Allgemeine Studierendenausschuss, soweit dies durch Ordnung des Senats oder des Fachbereichs geregelt ist,</w:t>
      </w:r>
    </w:p>
    <w:p>
      <w:r>
        <w:t xml:space="preserve">wahr. Der Beschluss der Vertreterinnen und Vertreter der Gruppe der Studierenden im Fachbereichsrat und im Senat bedarf der Mehrheit dieser Vertreterinnen und Vertreter der Gruppe. Ist das Gremium nach Absatz 4 gebildet oder liegt eine Regelung nach Satz 1 Nummer 3 vor, entfallen die Befugnisse nach Satz 1 Nummer 1.</w:t>
      </w:r>
    </w:p>
    <w:p>
      <w:r>
        <w:t xml:space="preserve">(4) Die Kunsthochschule kann durch Ordnung des Senats oder des Fachbereichs ein Gremium des Fachbereichs bilden, welches in seiner einen Hälfte aus Vertreterinnen und Vertretern der Gruppen im Sinne des § 12 Absatz 1 Satz 1 und 2 des Kunsthochschulgesetzes, soweit sie Lehraufgaben wahrnehmen, sowie in seiner anderen Hälfte aus Vertreterinnen und Vertretern der Gruppe im Sinne des § 12 Absatz 1 Satz 1 Nummer 4 des Kunsthochschulgesetzes besteht. Die Stimmen der beiden Hälften stehen im gleichen Verhältnis zueinander. Die Ordnung regelt zugleich die dem Gremium vorsitzende Person; diese muss der Hälfte der Lehrenden angehören.</w:t>
      </w:r>
    </w:p>
    <w:p>
      <w:r>
        <w:rPr>
          <w:color w:val="555555"/>
          <w:sz w:val="17"/>
        </w:rPr>
        <w:t xml:space="preserve">Zitiervorschlag: § 15 HDVO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https://recht.nulegal.eu/gesetze/HDVO/15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