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HBegleitG 1984 — Inkrafttreten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der Absätze 2 bis 9 am 1. Januar 1984 in Kraft.</w:t>
      </w:r>
    </w:p>
    <w:p>
      <w:r>
        <w:t xml:space="preserve">(2) Artikel 30 Nr. 2 tritt mit Wirkung vom 1. Januar 1979 in Kraft.</w:t>
      </w:r>
    </w:p>
    <w:p>
      <w:r>
        <w:t xml:space="preserve">(3) Artikel 1 Nr. 14 tritt mit Wirkung vom 1. Januar 1982 in Kraft.</w:t>
      </w:r>
    </w:p>
    <w:p>
      <w:r>
        <w:t xml:space="preserve">(4) Artikel 1 Nr. 45, Artikel 2 Nr. 22 und Artikel 3 Nr. 26 sowie Artikel 36 Nr. 1 bis 8 treten mit Wirkung vom 1. Januar 1983 in Kraft.</w:t>
      </w:r>
    </w:p>
    <w:p>
      <w:r>
        <w:t xml:space="preserve">(5) Artikel 10 tritt mit Wirkung vom 1. Juli 1983 in Kraft. Hat ein erstattungspflichtiger Leistungsträger vor Verkündigung dieses Gesetzes Leistungen erbracht, findet § 104 Abs. 2 des Zehnten Buches Sozialgesetzbuch keine Anwendung.</w:t>
      </w:r>
    </w:p>
    <w:p>
      <w:r>
        <w:t xml:space="preserve">(6) Artikel 24 Nr. 2 tritt am 30. Dezember 1983 in Kraft.</w:t>
      </w:r>
    </w:p>
    <w:p>
      <w:r>
        <w:t xml:space="preserve">(7) Artikel 1 Nr. 34 Buchstaben b und c, Artikel 2 Nr. 11 Buchstaben b und c und Artikel 3 Nr. 14 Buchstabe b und Nr. 15 treten am 31. Dezember 1983 in Kraft.</w:t>
      </w:r>
    </w:p>
    <w:p>
      <w:r>
        <w:t xml:space="preserve">(8) Artikel 20 Nr. 1, 2, 4 bis 8 und Artikel 21 treten am 1. April 1984 in Kraft.</w:t>
      </w:r>
    </w:p>
    <w:p>
      <w:r>
        <w:t xml:space="preserve">(9) Artikel 1 Nr. 9 Buchstabe b tritt am 1. Januar 1985 in Kraft.</w:t>
      </w:r>
    </w:p>
    <w:p>
      <w:r>
        <w:rPr>
          <w:color w:val="555555"/>
          <w:sz w:val="17"/>
        </w:rPr>
        <w:t xml:space="preserve">Zitiervorschlag: Art 39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