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HBegleitG 1984 — Änderung des Gesetzes über das Bundesverfassungsgericht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Artikel 32 Abs. 2 gilt entsprechend.</w:t>
      </w:r>
    </w:p>
    <w:p>
      <w:r>
        <w:t xml:space="preserve">(3) Die Absätze 1 und 2 gelten nicht im Land Berlin.</w:t>
      </w:r>
    </w:p>
    <w:p>
      <w:r>
        <w:rPr>
          <w:color w:val="555555"/>
          <w:sz w:val="17"/>
        </w:rPr>
        <w:t xml:space="preserve">Zitiervorschlag: Art 33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