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HBauStatG — Auskunftspflicht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nach diesem Gesetz besteht Auskunftspflicht. Die Auskunftserteilung zu den Angaben nach § 4 Nummer 4 ist freiwillig.</w:t>
      </w:r>
    </w:p>
    <w:p>
      <w:r>
        <w:t xml:space="preserve">(2) Auskunftspflichtig sind die Bauaufsichtsbehörden sowie für die Angaben nach § 3 Abs. 1 bis 3 auch die Bauherren und die mit der Baubetreuung Beauftragten, für die Angaben nach § 3 Abs. 3 auch die Gemeinden und Gemeindeverbände, für die Angaben nach § 3 Abs. 4 auch die Eigentümer, Gemeinden und Gemeindeverbände. Die Landesregierungen werden ermächtigt, Näheres durch Rechtsverordnung zu regeln.</w:t>
      </w:r>
    </w:p>
    <w:p>
      <w:r>
        <w:rPr>
          <w:color w:val="555555"/>
          <w:sz w:val="17"/>
        </w:rPr>
        <w:t xml:space="preserve">Zitiervorschlag: § 6 HBauStatG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