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HBauStatG — Berichtszeitraum, Berichtszeitpunkt</w:t>
      </w:r>
    </w:p>
    <w:p>
      <w:r>
        <w:rPr>
          <w:color w:val="555555"/>
          <w:sz w:val="18"/>
        </w:rPr>
        <w:t xml:space="preserve">Hochbaustatistikgesetz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Erhebungen nach § 1 Abs. 2 Nr. 1 und 4 werden monatlich für den abgelaufenen Kalendermonat, die Erhebung nach § 1 Abs. 2 Nr. 2 wird jährlich für das abgelaufene Kalenderjahr, die Erhebung nach § 1 Abs. 2 Nr. 3 wird jährlich nach dem Stand vom 31. Dezember durchgeführt.</w:t>
      </w:r>
    </w:p>
    <w:p>
      <w:r>
        <w:rPr>
          <w:color w:val="555555"/>
          <w:sz w:val="17"/>
        </w:rPr>
        <w:t xml:space="preserve">Zitiervorschlag: § 5 HBauStatG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https://recht.nulegal.eu/gesetze/HBauStatG/5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