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HBauStatG — Hilfsmerkmale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</w:t>
      </w:r>
    </w:p>
    <w:p>
      <w:pPr>
        <w:ind w:left="420"/>
      </w:pPr>
      <w:r>
        <w:t xml:space="preserve">1. Bauscheinnummer, Aktenzeichen;</w:t>
      </w:r>
    </w:p>
    <w:p>
      <w:pPr>
        <w:ind w:left="420"/>
      </w:pPr>
      <w:r>
        <w:t xml:space="preserve">2. Anschrift des Baugrundstücks;</w:t>
      </w:r>
    </w:p>
    <w:p>
      <w:pPr>
        <w:ind w:left="420"/>
      </w:pPr>
      <w:r>
        <w:t xml:space="preserve">3. Name und Anschrift des Bauherrn für die Erhebungen nach § 1 Abs. 2 Nr. 1 bis 3 und des Eigentümers für die Erhebung nach § 1 Abs. 2 Nr. 4;</w:t>
      </w:r>
    </w:p>
    <w:p>
      <w:pPr>
        <w:ind w:left="420"/>
      </w:pPr>
      <w:r>
        <w:t xml:space="preserve">4. Name und Kontaktdaten der Personen, die für Rückfragen zur Verfügung stehen;</w:t>
      </w:r>
    </w:p>
    <w:p>
      <w:pPr>
        <w:ind w:left="420"/>
      </w:pPr>
      <w:r>
        <w:t xml:space="preserve">5. bei Wiedererrichtung eines Gebäudes zusätzlich Abgangsjahr des vorherigen Gebäudes und Meldung zur Erhebung nach § 1 Abs. 2 Nr. 4.</w:t>
      </w:r>
    </w:p>
    <w:p>
      <w:r>
        <w:rPr>
          <w:color w:val="555555"/>
          <w:sz w:val="17"/>
        </w:rPr>
        <w:t xml:space="preserve">Zitiervorschlag: § 4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