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HBauStatG — Erhebungseinheiten</w:t>
      </w:r>
    </w:p>
    <w:p>
      <w:r>
        <w:rPr>
          <w:color w:val="555555"/>
          <w:sz w:val="18"/>
        </w:rPr>
        <w:t xml:space="preserve">Hochbaustatistikgesetz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Erhebungen nach § 1 Abs. 2 Nr. 1 bis 3 erfassen alle genehmigungs- oder zustimmungsbedürftigen sowie landesrechtlichen Verfahrensvorschriften unterliegenden Baumaßnahmen, bei denen Wohnraum oder sonstiger Nutzraum geschaffen oder verändert wird, sowie Hochbauten, deren Genehmigungsverfahren durch besondere Bundes- oder Landesgesetze geregelt sind. Nicht einbezogen werden Baumaßnahmen für ausschließlich sonstigen Nutzraum bis zu 350 Kubikmeter Rauminhalt oder bis zu 18.000 Euro veranschlagte Kosten.</w:t>
      </w:r>
    </w:p>
    <w:p>
      <w:r>
        <w:t xml:space="preserve">(2) Die Erhebungen nach § 1 Abs. 2 Nr. 4 erfassen alle Gebäude und Gebäudeteile, die durch ordnungsbehördliche Maßnahmen, Schadensfälle oder Abbruch der Nutzung entzogen werden oder deren Nutzung zwischen Wohn- und Nichtwohnzwecken geändert wird.</w:t>
      </w:r>
    </w:p>
    <w:p>
      <w:r>
        <w:rPr>
          <w:color w:val="555555"/>
          <w:sz w:val="17"/>
        </w:rPr>
        <w:t xml:space="preserve">Zitiervorschlag: § 2 HBauStatG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https://recht.nulegal.eu/gesetze/HBauStatG/2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