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HBankDVDV — Fachtheoretische Ausbildung</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Die fachtheoretische Ausbildung umfasst Ausbildungslehrgänge mit einer Gesamtdauer von mindestens acht Wochen.</w:t>
      </w:r>
    </w:p>
    <w:p>
      <w:r>
        <w:t xml:space="preserve">(2) Die fachtheoretische Ausbildung soll den Referendarinnen und Referendaren das theoretische Wissen vermitteln, das für die Erfüllung der Aufgaben des höheren Bankdienstes erforderlich ist. Die Referendarinnen und Referendare sind zu intensiver Mitarbeit und zum Selbststudium verpflichtet. Daneben sollen sie an inner- und außerbetrieblichen Veranstaltungen teilnehmen, die ihrer Ausbildung förderlich sind und auch der Festigung und Vertiefung ihrer Englischkenntnisse dienen.</w:t>
      </w:r>
    </w:p>
    <w:p>
      <w:r>
        <w:t xml:space="preserve">(3) Die fachtheoretische Ausbildung erstreckt sich auf die Fachgebiete Volkswirtschaftslehre und Betriebswirtschaftslehre einschließlich der jeweiligen rechtlichen Aspekte. Sie berücksichtigt insbesondere die Funktionen einer Zentralbank sowie europäische und internationale Zusammenhänge.</w:t>
      </w:r>
    </w:p>
    <w:p>
      <w:r>
        <w:t xml:space="preserve">(4) Vor Beginn der schriftlichen Abschlussprüfung sind zwei schriftliche Leistungstests durchzuführen. Die Aufgaben der Leistungstests werden von der Ausbildungsleiterin oder dem Ausbildungsleiter aus den Fachgebieten nach Absatz 3 Satz 1 gestellt. Das Nähere regelt der Ausbildungsrahmenplan.</w:t>
      </w:r>
    </w:p>
    <w:p>
      <w:r>
        <w:t xml:space="preserve">(5) Jeder Leistungstest ist mindestens eine Woche vorher anzukündigen. Kann eine Referendarin oder ein Referendar an einem Leistungstest nicht teilnehmen, ist dieser nachzuholen; den Zeitpunkt der Nachholung setzt die Ausbildungsleiterin oder der Ausbildungsleiter fest. Die §§ 24 und 25 gelten mit der Maßgabe entsprechend, dass die dort genannten Entscheidungen die Ausbildungsleiterin oder der Ausbildungsleiter trifft.</w:t>
      </w:r>
    </w:p>
    <w:p>
      <w:r>
        <w:rPr>
          <w:color w:val="555555"/>
          <w:sz w:val="17"/>
        </w:rPr>
        <w:t xml:space="preserve">Zitiervorschlag: § 16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