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HAuslG</w:t>
      </w:r>
    </w:p>
    <w:p>
      <w:r>
        <w:rPr>
          <w:color w:val="555555"/>
          <w:sz w:val="18"/>
        </w:rPr>
        <w:t xml:space="preserve">Gesetz über die Rechtsstellung heimatloser Ausländer im Bundesgebiet</w:t>
      </w:r>
    </w:p>
    <w:p>
      <w:r>
        <w:rPr>
          <w:color w:val="555555"/>
          <w:sz w:val="18"/>
        </w:rPr>
        <w:t xml:space="preserve">Stand: 10.06.2019 (konsolidierte Textfassung, kein amtliches Inkrafttretensdatum)</w:t>
      </w:r>
    </w:p>
    <w:p>
      <w:r>
        <w:t xml:space="preserve">In den Fällen, in denen der Erwerb oder die Ausübung eines Rechts von der Dauer des Aufenthalts im Geltungsbereich des Grundgesetzes oder in Berlin (West) abhängig ist, ist die Zeit des Zwangsaufenthalts einer Person im Falle einer Verschleppung in der Zeit vom 1. September 1939 bis zum 8. Mai 1945 anzurechnen.</w:t>
      </w:r>
    </w:p>
    <w:p>
      <w:r>
        <w:rPr>
          <w:color w:val="555555"/>
          <w:sz w:val="17"/>
        </w:rPr>
        <w:t xml:space="preserve">Zitiervorschlag: § 7 HAuslG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https://recht.nulegal.eu/gesetze/HAuslG/7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