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 HAuslG</w:t>
      </w:r>
    </w:p>
    <w:p>
      <w:r>
        <w:rPr>
          <w:color w:val="555555"/>
          <w:sz w:val="18"/>
        </w:rPr>
        <w:t xml:space="preserve">Gesetz über die Rechtsstellung heimatloser Ausländer im Bundesgebiet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Ausnahmemaßnahmen, die sich gegen Angehörige des früheren Heimatstaates eines heimatlosen Ausländers richten, dürfen gegen diesen nicht angewandt werden.</w:t>
      </w:r>
    </w:p>
    <w:p>
      <w:r>
        <w:rPr>
          <w:color w:val="555555"/>
          <w:sz w:val="17"/>
        </w:rPr>
        <w:t xml:space="preserve">Zitiervorschlag: § 6 HAuslG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https://recht.nulegal.eu/gesetze/HAuslG/6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