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Heimatlose Ausländer sind den im Geltungsbereich des Grundgesetzes oder in Berlin (West) geltenden Gesetzen und Vorschriften einschließlich der zur Aufrechterhaltung der öffentlichen Ordnung ergriffenen Maßnahmen unterworfen.</w:t>
      </w:r>
    </w:p>
    <w:p>
      <w:r>
        <w:t xml:space="preserve">(2) Sie unterstehen der deutschen Gerichtsbarkeit.</w:t>
      </w:r>
    </w:p>
    <w:p>
      <w:r>
        <w:rPr>
          <w:color w:val="555555"/>
          <w:sz w:val="17"/>
        </w:rPr>
        <w:t xml:space="preserve">Zitiervorschlag: § 4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