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mit Zustimmung des Bundesrates Rechtsverordnungen zu erlassen,</w:t>
      </w:r>
    </w:p>
    <w:p>
      <w:pPr>
        <w:ind w:left="420"/>
      </w:pPr>
      <w:r>
        <w:t xml:space="preserve">a) um heimatlosen Ausländern den Schutz und Beistand zu gewähren, der fremden Staatsangehörigen sonst durch die Auslandsvertretungen ihrer Heimatstaaten geleistet wird, und</w:t>
      </w:r>
    </w:p>
    <w:p>
      <w:pPr>
        <w:ind w:left="420"/>
      </w:pPr>
      <w:r>
        <w:t xml:space="preserve">b) um die Ausstellung von Urkunden zu regeln, die fremden Staatsangehörigen sonst von ihren Heimatbehörden erteilt werden.</w:t>
      </w:r>
    </w:p>
    <w:p>
      <w:r>
        <w:t xml:space="preserve">(2) Die so ausgestellten Urkunden haben die gleiche Gültigkeit, wie sie entsprechenden, den fremden Staatsangehörigen von ihren Heimatbehörden erteilten Urkunden zukommt.</w:t>
      </w:r>
    </w:p>
    <w:p>
      <w:r>
        <w:t xml:space="preserve">(3) Für die Ausstellung solcher Urkunden dürfen, vorbehaltlich einer günstigeren Behandlung für minderbemittelte heimatlose Ausländer, keine höheren Gebühren erhoben werden als von deutschen Staatsangehörigen.</w:t>
      </w:r>
    </w:p>
    <w:p>
      <w:r>
        <w:rPr>
          <w:color w:val="555555"/>
          <w:sz w:val="17"/>
        </w:rPr>
        <w:t xml:space="preserve">Zitiervorschlag: § 24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