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HAuslG</w:t>
      </w:r>
    </w:p>
    <w:p>
      <w:r>
        <w:rPr>
          <w:color w:val="555555"/>
          <w:sz w:val="18"/>
        </w:rPr>
        <w:t xml:space="preserve">Gesetz über die Rechtsstellung heimatloser Ausländer im Bundesgebiet</w:t>
      </w:r>
    </w:p>
    <w:p>
      <w:r>
        <w:rPr>
          <w:color w:val="555555"/>
          <w:sz w:val="18"/>
        </w:rPr>
        <w:t xml:space="preserve">Stand: 10.06.2019 (konsolidierte Textfassung, kein amtliches Inkrafttretensdatum)</w:t>
      </w:r>
    </w:p>
    <w:p>
      <w:r>
        <w:t xml:space="preserve">(1) Heimatlose Ausländer dürfen nur nach Maßgabe des § 56 des Aufenthaltsgesetzes aus schwerwiegenden Gründen der öffentlichen Sicherheit oder Ordnung ausgewiesen werden. Sie dürfen nur abgeschoben werden, wenn sie unanfechtbar ausreisepflichtig sind.</w:t>
      </w:r>
    </w:p>
    <w:p>
      <w:r>
        <w:t xml:space="preserve">(2) Bei der Ausweisung ist dem Betroffenen eine angemessene Frist zu gewähren, in welcher er um Aufnahme in einen anderen Staat nachsuchen kann.</w:t>
      </w:r>
    </w:p>
    <w:p>
      <w:r>
        <w:t xml:space="preserve">(3) Ein heimatloser Ausländer darf weder an einen Staat ausgeliefert noch in einen Staat ausgewiesen, abgeschoben oder zurückgesandt werden, in dem sein Leben oder seine Freiheit wegen seiner Rasse, seiner Abstammung, seiner Herkunft, seines Glaubens, seiner religiösen oder politischen Anschauungen bedroht ist. § 60 Abs. 10 des Aufenthaltsgesetzes findet entsprechende Anwendung.</w:t>
      </w:r>
    </w:p>
    <w:p>
      <w:r>
        <w:t xml:space="preserve">(4)</w:t>
      </w:r>
    </w:p>
    <w:p>
      <w:r>
        <w:rPr>
          <w:color w:val="555555"/>
          <w:sz w:val="17"/>
        </w:rPr>
        <w:t xml:space="preserve">Zitiervorschlag: § 23 HAuslG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https://recht.nulegal.eu/gesetze/HAuslG/23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