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(1) Ein heimatloser Ausländer verliert diese Rechtsstellung, wenn er nach dem 30. Juni 1950 eine neue Staatsangehörigkeit erwirbt oder seinen gewöhnlichen Aufenthalt außerhalb des Geltungsbereichs des Grundgesetzes oder von Berlin (West) nimmt.</w:t>
      </w:r>
    </w:p>
    <w:p>
      <w:r>
        <w:t xml:space="preserve">(2) Hat ein heimatloser Ausländer seinen gewöhnlichen Aufenthalt außerhalb des Geltungsbereichs des Grundgesetzes oder von Berlin (West) genommen, so kann er innerhalb zweier Jahre seit dem Zeitpunkt seiner Ausreise aus dem Geltungsbereich des Grundgesetzes oder aus Berlin (West) seinen gewöhnlichen Aufenthalt in den Geltungsbereich des Grundgesetzes oder nach Berlin (West) zurückverlegen. Mit der Rückkehr erlangt er wieder die Rechtsstellung eines heimatlosen Ausländers.</w:t>
      </w:r>
    </w:p>
    <w:p>
      <w:r>
        <w:t xml:space="preserve">(3) Ein fremder Staatsangehöriger oder Staatenloser, der die Bestimmungen des § 1 Abs. 1a und b erfüllt, nach dem 1. Juli 1948 seinen gewöhnlichen Aufenthalt im Geltungsbereich des Grundgesetzes oder in Berlin (West) hatte und ihn danach außerhalb des Geltungsbereichs des Grundgesetzes oder von Berlin (West) verlegt hat, erlangt die Rechtsstellung eines heimatlosen Ausländers, wenn er innerhalb von 2 Jahren seit dem Zeitpunkt seiner Ausreise aus dem Geltungsbereich des Grundgesetzes oder aus Berlin (West) rechtmäßig seinen Wohnsitz oder dauernden Aufenthalt in den Geltungsbereich des Grundgesetzes oder nach Berlin (West) zurückverlegt.</w:t>
      </w:r>
    </w:p>
    <w:p>
      <w:r>
        <w:rPr>
          <w:color w:val="555555"/>
          <w:sz w:val="17"/>
        </w:rPr>
        <w:t xml:space="preserve">Zitiervorschlag: § 2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